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BB33B">
      <w:pPr>
        <w:spacing w:before="180" w:after="180" w:line="276" w:lineRule="auto"/>
        <w:jc w:val="center"/>
        <w:rPr>
          <w:rFonts w:ascii="Times New Roman" w:hAnsi="Times New Roman" w:eastAsia="Times New Roman" w:cs="Times New Roman"/>
          <w:color w:val="2B2B2B"/>
          <w:sz w:val="24"/>
          <w:szCs w:val="24"/>
          <w:lang w:eastAsia="ru-RU"/>
        </w:rPr>
      </w:pPr>
      <w:bookmarkStart w:id="0" w:name="_GoBack"/>
      <w:bookmarkEnd w:id="0"/>
      <w:r>
        <w:rPr>
          <w:rFonts w:ascii="Times New Roman" w:hAnsi="Times New Roman" w:eastAsia="Times New Roman" w:cs="Times New Roman"/>
          <w:b/>
          <w:bCs/>
          <w:color w:val="2B2B2B"/>
          <w:sz w:val="24"/>
          <w:szCs w:val="24"/>
          <w:lang w:eastAsia="ru-RU"/>
        </w:rPr>
        <w:t>ОТЧЕТ</w:t>
      </w:r>
    </w:p>
    <w:p w14:paraId="4CA7B50D">
      <w:pPr>
        <w:spacing w:before="180" w:after="180" w:line="276" w:lineRule="auto"/>
        <w:jc w:val="center"/>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Председателя Горбачевой Е.П. от лица правления о финансово-хозяйственной деятельности</w:t>
      </w:r>
    </w:p>
    <w:p w14:paraId="58D9A3AA">
      <w:pPr>
        <w:spacing w:before="180" w:after="180" w:line="276" w:lineRule="auto"/>
        <w:jc w:val="center"/>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садоводческого некоммерческого товарищества «Выборжец»</w:t>
      </w:r>
    </w:p>
    <w:p w14:paraId="43A5EB3B">
      <w:pPr>
        <w:spacing w:before="180" w:after="180" w:line="276" w:lineRule="auto"/>
        <w:jc w:val="center"/>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за период с 01.07.2025 по 30.06.2026 </w:t>
      </w:r>
    </w:p>
    <w:p w14:paraId="4F3DFF1D">
      <w:pPr>
        <w:spacing w:before="180" w:after="180" w:line="276" w:lineRule="auto"/>
        <w:jc w:val="center"/>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1. ВВЕДЕНИЕ</w:t>
      </w:r>
    </w:p>
    <w:p w14:paraId="7361C7FC">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 xml:space="preserve">1. </w:t>
      </w:r>
      <w:r>
        <w:rPr>
          <w:rFonts w:ascii="Times New Roman" w:hAnsi="Times New Roman" w:eastAsia="Times New Roman" w:cs="Times New Roman"/>
          <w:bCs/>
          <w:color w:val="2B2B2B"/>
          <w:sz w:val="24"/>
          <w:szCs w:val="24"/>
          <w:lang w:eastAsia="ru-RU"/>
        </w:rPr>
        <w:t>В данный отчетный период</w:t>
      </w:r>
      <w:r>
        <w:rPr>
          <w:rFonts w:ascii="Times New Roman" w:hAnsi="Times New Roman" w:eastAsia="Times New Roman" w:cs="Times New Roman"/>
          <w:color w:val="2B2B2B"/>
          <w:sz w:val="24"/>
          <w:szCs w:val="24"/>
          <w:lang w:eastAsia="ru-RU"/>
        </w:rPr>
        <w:t xml:space="preserve"> работало правление в составе: Боляк Ю.С., Дмитриева Т.Е., Сосулина Т.А., Хмелинина Т.В., Горбачева Е.П. </w:t>
      </w:r>
    </w:p>
    <w:p w14:paraId="78E99BB5">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
          <w:bCs/>
          <w:color w:val="2B2B2B"/>
          <w:sz w:val="24"/>
          <w:szCs w:val="24"/>
          <w:lang w:eastAsia="ru-RU"/>
        </w:rPr>
        <w:t>1.2.</w:t>
      </w:r>
      <w:r>
        <w:rPr>
          <w:rFonts w:ascii="Times New Roman" w:hAnsi="Times New Roman" w:eastAsia="Times New Roman" w:cs="Times New Roman"/>
          <w:color w:val="2B2B2B"/>
          <w:sz w:val="24"/>
          <w:szCs w:val="24"/>
          <w:lang w:eastAsia="ru-RU"/>
        </w:rPr>
        <w:t> Проверку организационной и финансово-хозяйственной деятельности Товарищества осуществляла ревизионная комиссия в составе: председатель комиссии - Миронова Е.В.; члены комиссии – Быкова Н.О., Япарова А.М.</w:t>
      </w:r>
    </w:p>
    <w:p w14:paraId="70E27494">
      <w:pPr>
        <w:spacing w:before="180" w:after="180" w:line="276" w:lineRule="auto"/>
        <w:jc w:val="center"/>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 ДЕЯТЕЛЬНОСТЬ</w:t>
      </w:r>
    </w:p>
    <w:p w14:paraId="3A9F4A53">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2.1. Организационная деятельность правления СНТ</w:t>
      </w:r>
    </w:p>
    <w:p w14:paraId="4EECF689">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Cs/>
          <w:color w:val="2B2B2B"/>
          <w:sz w:val="24"/>
          <w:szCs w:val="24"/>
          <w:lang w:eastAsia="ru-RU"/>
        </w:rPr>
        <w:t>2.1.1.</w:t>
      </w:r>
      <w:r>
        <w:rPr>
          <w:rFonts w:ascii="Times New Roman" w:hAnsi="Times New Roman" w:eastAsia="Times New Roman" w:cs="Times New Roman"/>
          <w:color w:val="2B2B2B"/>
          <w:sz w:val="24"/>
          <w:szCs w:val="24"/>
          <w:lang w:eastAsia="ru-RU"/>
        </w:rPr>
        <w:t> Инвентаризация имущества СНТ проводилась 30.06.2026.</w:t>
      </w:r>
    </w:p>
    <w:p w14:paraId="2F3681E1">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2.1.2. За данный отчетный период проведено 8 заседаний правления. Заседания проходили конструктивно, практически на всех заседаниях был полный состав правления. На каждом заседании присутствовал хотя бы один член ревизионной комиссии. Все протоколы заседаний были выложены на сайт СНТ. </w:t>
      </w:r>
    </w:p>
    <w:p w14:paraId="6B59CD77">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2.1.3.</w:t>
      </w:r>
      <w:r>
        <w:rPr>
          <w:rFonts w:ascii="Times New Roman" w:hAnsi="Times New Roman" w:eastAsia="Times New Roman" w:cs="Times New Roman"/>
          <w:b/>
          <w:color w:val="2B2B2B"/>
          <w:sz w:val="24"/>
          <w:szCs w:val="24"/>
          <w:lang w:eastAsia="ru-RU"/>
        </w:rPr>
        <w:t xml:space="preserve"> </w:t>
      </w:r>
      <w:r>
        <w:rPr>
          <w:rFonts w:ascii="Times New Roman" w:hAnsi="Times New Roman" w:eastAsia="Times New Roman" w:cs="Times New Roman"/>
          <w:color w:val="2B2B2B"/>
          <w:sz w:val="24"/>
          <w:szCs w:val="24"/>
          <w:lang w:eastAsia="ru-RU"/>
        </w:rPr>
        <w:t xml:space="preserve">В штате СНТ 3 единицы: председатель Горбачева Е.П., помощник председателя Сосулина Т.А., бухгалтер Вознесенская Е.Н. Электрика и водопроводчика в штате СНТ нет, но есть электрик и водопроводчик, которые работают с садоводством по договорам ГПХ, по договорам с самозанятыми, а также с садоводами в частном порядке. </w:t>
      </w:r>
    </w:p>
    <w:p w14:paraId="0BD76001">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2.1.4. В соответствии с требованиями законодательства прием наличных денежных средств не осуществляется. В здании правления имеется терминал Сбербанка для осуществления платежей по банковским картам или по </w:t>
      </w:r>
      <w:r>
        <w:rPr>
          <w:rFonts w:ascii="Times New Roman" w:hAnsi="Times New Roman" w:eastAsia="Times New Roman" w:cs="Times New Roman"/>
          <w:color w:val="2B2B2B"/>
          <w:sz w:val="24"/>
          <w:szCs w:val="24"/>
          <w:lang w:val="en-US" w:eastAsia="ru-RU"/>
        </w:rPr>
        <w:t>QR</w:t>
      </w:r>
      <w:r>
        <w:rPr>
          <w:rFonts w:ascii="Times New Roman" w:hAnsi="Times New Roman" w:eastAsia="Times New Roman" w:cs="Times New Roman"/>
          <w:color w:val="2B2B2B"/>
          <w:sz w:val="24"/>
          <w:szCs w:val="24"/>
          <w:lang w:eastAsia="ru-RU"/>
        </w:rPr>
        <w:t>-коду. Все платежи можно производить любым удобным способом:</w:t>
      </w:r>
    </w:p>
    <w:p w14:paraId="454735E9">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в здании правления, в часы приема, банковской картой;</w:t>
      </w:r>
    </w:p>
    <w:p w14:paraId="7DC81485">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через онлайн-сервисы банков с телефона или компьютера по реквизитам СНТ;</w:t>
      </w:r>
    </w:p>
    <w:p w14:paraId="481398C6">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в кассах ПэтроЭнергоСбыта, на почте, в отделении любого банка по реквизитам СНТ;</w:t>
      </w:r>
    </w:p>
    <w:p w14:paraId="16F721A1">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попросить родственника или соседа выполнить платеж одним из вышеперечисленных пунктов, отдав ему наличные денежные средства.</w:t>
      </w:r>
    </w:p>
    <w:p w14:paraId="0586B116">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Cs/>
          <w:color w:val="2B2B2B"/>
          <w:sz w:val="24"/>
          <w:szCs w:val="24"/>
          <w:lang w:eastAsia="ru-RU"/>
        </w:rPr>
        <w:t>2.1.5.</w:t>
      </w:r>
      <w:r>
        <w:rPr>
          <w:rFonts w:ascii="Times New Roman" w:hAnsi="Times New Roman" w:eastAsia="Times New Roman" w:cs="Times New Roman"/>
          <w:color w:val="2B2B2B"/>
          <w:sz w:val="24"/>
          <w:szCs w:val="24"/>
          <w:lang w:eastAsia="ru-RU"/>
        </w:rPr>
        <w:t> Бухгалтерский учет осуществляется в программе 1С:Бухгалтерия.СНТ.</w:t>
      </w:r>
    </w:p>
    <w:p w14:paraId="7AD2A786">
      <w:pPr>
        <w:spacing w:before="180" w:after="180" w:line="276" w:lineRule="auto"/>
        <w:jc w:val="both"/>
        <w:rPr>
          <w:rFonts w:ascii="Times New Roman" w:hAnsi="Times New Roman" w:eastAsia="Times New Roman" w:cs="Times New Roman"/>
          <w:b/>
          <w:bCs/>
          <w:color w:val="2B2B2B"/>
          <w:sz w:val="24"/>
          <w:szCs w:val="24"/>
          <w:lang w:eastAsia="ru-RU"/>
        </w:rPr>
      </w:pPr>
    </w:p>
    <w:p w14:paraId="7E71C619">
      <w:pPr>
        <w:spacing w:before="180" w:after="180" w:line="276" w:lineRule="auto"/>
        <w:jc w:val="both"/>
        <w:rPr>
          <w:rFonts w:ascii="Times New Roman" w:hAnsi="Times New Roman" w:eastAsia="Times New Roman" w:cs="Times New Roman"/>
          <w:b/>
          <w:bCs/>
          <w:color w:val="2B2B2B"/>
          <w:sz w:val="24"/>
          <w:szCs w:val="24"/>
          <w:lang w:eastAsia="ru-RU"/>
        </w:rPr>
      </w:pPr>
    </w:p>
    <w:p w14:paraId="255DCEFA">
      <w:pPr>
        <w:spacing w:before="180" w:after="180" w:line="276" w:lineRule="auto"/>
        <w:jc w:val="both"/>
        <w:rPr>
          <w:rFonts w:ascii="Times New Roman" w:hAnsi="Times New Roman" w:eastAsia="Times New Roman" w:cs="Times New Roman"/>
          <w:b/>
          <w:bCs/>
          <w:color w:val="2B2B2B"/>
          <w:sz w:val="24"/>
          <w:szCs w:val="24"/>
          <w:lang w:eastAsia="ru-RU"/>
        </w:rPr>
      </w:pPr>
      <w:r>
        <w:rPr>
          <w:rFonts w:ascii="Times New Roman" w:hAnsi="Times New Roman" w:eastAsia="Times New Roman" w:cs="Times New Roman"/>
          <w:b/>
          <w:bCs/>
          <w:color w:val="2B2B2B"/>
          <w:sz w:val="24"/>
          <w:szCs w:val="24"/>
          <w:lang w:eastAsia="ru-RU"/>
        </w:rPr>
        <w:t>2.2. Документооборот</w:t>
      </w:r>
    </w:p>
    <w:p w14:paraId="1ADA211E">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2.2.1. Ведется журнал регистрации входящей – исходящей документации, передаваемой в правление в бумажном виде и получаемой на почте. Письма, получаемые или отправляемые по электронной почте, сохраняются в определенных папках в электронном виде.</w:t>
      </w:r>
    </w:p>
    <w:p w14:paraId="3D353CA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2.2.2. Журнал заявок от членов СНТ находится в правлении, заявки выполняются, о чем делается отметка исполнителем;</w:t>
      </w:r>
    </w:p>
    <w:p w14:paraId="33AC8978">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2.2.3.  Кадровый учет ведется в соответствии с ТК РФ;</w:t>
      </w:r>
    </w:p>
    <w:p w14:paraId="1131C52F">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2.2.4. Договоры ГПХ и договоры с самозанятыми составляются в соответствии с законодательством. Договоры и Акты выполненных работ к ним хранятся в упорядоченном виде. Необходимые налоги и взносы перечисляются;</w:t>
      </w:r>
    </w:p>
    <w:p w14:paraId="13BBF40C">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2.2.5. Кассовые и банковские документы все распечатываются и хранятся 3 отчетных периода. Первичные документы по авансовым отчетам и сами отчеты также хранятся 3 отчетных периода.</w:t>
      </w:r>
    </w:p>
    <w:p w14:paraId="5CF6C524">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2.2.6. Архив копий документов садоводов в разрезе участков поддерживается в актуальном состоянии (напоминаем, что при изменении данных о собственнике участка, персональных данных, номера телефона, адреса электронной почты, и т.п. необходимо в 14-тидневный срок оповестить правление и предоставить копии документов любым удобным способом – электронная почта СНТ, ватсап, МАКС по общественному телефону СНТ, личный визит)</w:t>
      </w:r>
    </w:p>
    <w:p w14:paraId="3E8CB41F">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2.2.7. Все оригиналы заключенных договоров с подрядчиками и контрагентами хранятся в упорядоченном виде.</w:t>
      </w:r>
    </w:p>
    <w:p w14:paraId="5211F5B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2.2.8. Документы, хранящиеся в правлении: правоустанавливающие документы СНТ, Устав СНТ, Межевое дело по садоводству, копия генерального плана СНТ, комплект документации по водонапорной башне, комплект документации по электрохозяйству, протоколы Общих собраний, протоколы заседаний правления.</w:t>
      </w:r>
    </w:p>
    <w:p w14:paraId="55E40853">
      <w:pPr>
        <w:spacing w:before="180" w:after="180" w:line="276" w:lineRule="auto"/>
        <w:jc w:val="both"/>
        <w:rPr>
          <w:rFonts w:ascii="Times New Roman" w:hAnsi="Times New Roman" w:eastAsia="Times New Roman" w:cs="Times New Roman"/>
          <w:b/>
          <w:color w:val="2B2B2B"/>
          <w:sz w:val="24"/>
          <w:szCs w:val="24"/>
          <w:lang w:eastAsia="ru-RU"/>
        </w:rPr>
      </w:pPr>
      <w:r>
        <w:rPr>
          <w:rFonts w:ascii="Times New Roman" w:hAnsi="Times New Roman" w:eastAsia="Times New Roman" w:cs="Times New Roman"/>
          <w:b/>
          <w:color w:val="2B2B2B"/>
          <w:sz w:val="24"/>
          <w:szCs w:val="24"/>
          <w:lang w:eastAsia="ru-RU"/>
        </w:rPr>
        <w:t xml:space="preserve">2.3. Выполнение сметы периода 2025/2026 </w:t>
      </w:r>
    </w:p>
    <w:p w14:paraId="18AA0565">
      <w:pPr>
        <w:jc w:val="both"/>
        <w:rPr>
          <w:rFonts w:ascii="Times New Roman" w:hAnsi="Times New Roman" w:eastAsia="Times New Roman" w:cs="Times New Roman"/>
          <w:b/>
          <w:bCs/>
          <w:color w:val="333333"/>
          <w:sz w:val="24"/>
          <w:szCs w:val="24"/>
          <w:lang w:eastAsia="ru-RU"/>
        </w:rPr>
      </w:pPr>
      <w:r>
        <w:rPr>
          <w:rFonts w:ascii="Times New Roman" w:hAnsi="Times New Roman" w:eastAsia="Times New Roman" w:cs="Times New Roman"/>
          <w:b/>
          <w:color w:val="2B2B2B"/>
          <w:sz w:val="24"/>
          <w:szCs w:val="24"/>
          <w:lang w:eastAsia="ru-RU"/>
        </w:rPr>
        <w:t xml:space="preserve">На начало отчетного периода 01.07.25 денежных средств было </w:t>
      </w:r>
      <w:r>
        <w:rPr>
          <w:rFonts w:ascii="Times New Roman" w:hAnsi="Times New Roman" w:eastAsia="Times New Roman" w:cs="Times New Roman"/>
          <w:b/>
          <w:bCs/>
          <w:color w:val="333333"/>
          <w:sz w:val="24"/>
          <w:szCs w:val="24"/>
          <w:lang w:eastAsia="ru-RU"/>
        </w:rPr>
        <w:t xml:space="preserve">1 695 044,58 руб., из которых </w:t>
      </w:r>
      <w:r>
        <w:rPr>
          <w:rFonts w:ascii="Times New Roman" w:hAnsi="Times New Roman" w:eastAsia="Times New Roman" w:cs="Times New Roman"/>
          <w:b/>
          <w:color w:val="000000"/>
          <w:sz w:val="24"/>
          <w:szCs w:val="24"/>
          <w:lang w:eastAsia="ru-RU"/>
        </w:rPr>
        <w:t xml:space="preserve">на расчетном счете – 495 044,58 руб., на депозите – 1 200 000 руб., под отчетом у </w:t>
      </w:r>
      <w:r>
        <w:rPr>
          <w:rFonts w:ascii="Times New Roman" w:hAnsi="Times New Roman" w:eastAsia="Times New Roman" w:cs="Times New Roman"/>
          <w:b/>
          <w:sz w:val="24"/>
          <w:szCs w:val="24"/>
          <w:lang w:eastAsia="ru-RU"/>
        </w:rPr>
        <w:t xml:space="preserve">председателя -  0 руб.. На конец отчетного периода 30.06.26 остаток </w:t>
      </w:r>
      <w:r>
        <w:rPr>
          <w:rFonts w:ascii="Times New Roman" w:hAnsi="Times New Roman" w:eastAsia="Times New Roman" w:cs="Times New Roman"/>
          <w:b/>
          <w:color w:val="2B2B2B"/>
          <w:sz w:val="24"/>
          <w:szCs w:val="24"/>
          <w:lang w:eastAsia="ru-RU"/>
        </w:rPr>
        <w:t xml:space="preserve">денежных средств составляет </w:t>
      </w:r>
      <w:r>
        <w:rPr>
          <w:rFonts w:ascii="Times New Roman" w:hAnsi="Times New Roman" w:eastAsia="Times New Roman" w:cs="Times New Roman"/>
          <w:b/>
          <w:bCs/>
          <w:color w:val="333333"/>
          <w:sz w:val="24"/>
          <w:szCs w:val="24"/>
          <w:lang w:eastAsia="ru-RU"/>
        </w:rPr>
        <w:t xml:space="preserve">1 575 310,43 руб., из которых </w:t>
      </w:r>
      <w:r>
        <w:rPr>
          <w:rFonts w:ascii="Times New Roman" w:hAnsi="Times New Roman" w:eastAsia="Times New Roman" w:cs="Times New Roman"/>
          <w:b/>
          <w:color w:val="000000"/>
          <w:sz w:val="24"/>
          <w:szCs w:val="24"/>
          <w:lang w:eastAsia="ru-RU"/>
        </w:rPr>
        <w:t xml:space="preserve">на расчетном счете – 575 310,43 руб., на депозите – 1 000 000,00 руб., под отчетом у </w:t>
      </w:r>
      <w:r>
        <w:rPr>
          <w:rFonts w:ascii="Times New Roman" w:hAnsi="Times New Roman" w:eastAsia="Times New Roman" w:cs="Times New Roman"/>
          <w:b/>
          <w:sz w:val="24"/>
          <w:szCs w:val="24"/>
          <w:lang w:eastAsia="ru-RU"/>
        </w:rPr>
        <w:t>председателя -  0,00  руб.</w:t>
      </w:r>
    </w:p>
    <w:p w14:paraId="68D15181">
      <w:pPr>
        <w:jc w:val="both"/>
        <w:rPr>
          <w:rFonts w:ascii="Times New Roman" w:hAnsi="Times New Roman" w:eastAsia="Times New Roman" w:cs="Times New Roman"/>
          <w:b/>
          <w:bCs/>
          <w:color w:val="333333"/>
          <w:sz w:val="24"/>
          <w:szCs w:val="24"/>
          <w:lang w:eastAsia="ru-RU"/>
        </w:rPr>
      </w:pPr>
      <w:r>
        <w:rPr>
          <w:rFonts w:ascii="Times New Roman" w:hAnsi="Times New Roman" w:eastAsia="Times New Roman" w:cs="Times New Roman"/>
          <w:b/>
          <w:bCs/>
          <w:color w:val="2B2B2B"/>
          <w:sz w:val="24"/>
          <w:szCs w:val="24"/>
          <w:lang w:eastAsia="ru-RU"/>
        </w:rPr>
        <w:t>Подробно по статьям:</w:t>
      </w:r>
    </w:p>
    <w:p w14:paraId="4130A2F8">
      <w:pPr>
        <w:spacing w:before="180" w:after="180" w:line="276" w:lineRule="auto"/>
        <w:jc w:val="both"/>
        <w:rPr>
          <w:rFonts w:ascii="Times New Roman" w:hAnsi="Times New Roman" w:eastAsia="Times New Roman" w:cs="Times New Roman"/>
          <w:b/>
          <w:bCs/>
          <w:color w:val="2B2B2B"/>
          <w:sz w:val="24"/>
          <w:szCs w:val="24"/>
          <w:lang w:eastAsia="ru-RU"/>
        </w:rPr>
      </w:pPr>
      <w:r>
        <w:rPr>
          <w:rFonts w:ascii="Times New Roman" w:hAnsi="Times New Roman" w:eastAsia="Times New Roman" w:cs="Times New Roman"/>
          <w:b/>
          <w:bCs/>
          <w:color w:val="2B2B2B"/>
          <w:sz w:val="24"/>
          <w:szCs w:val="24"/>
          <w:lang w:eastAsia="ru-RU"/>
        </w:rPr>
        <w:t>2.3.1. Статьи дохода</w:t>
      </w:r>
    </w:p>
    <w:p w14:paraId="6EF24798">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Членские взносы</w:t>
      </w:r>
      <w:r>
        <w:rPr>
          <w:rFonts w:ascii="Times New Roman" w:hAnsi="Times New Roman" w:eastAsia="Times New Roman" w:cs="Times New Roman"/>
          <w:bCs/>
          <w:color w:val="2B2B2B"/>
          <w:sz w:val="24"/>
          <w:szCs w:val="24"/>
          <w:lang w:eastAsia="ru-RU"/>
        </w:rPr>
        <w:t xml:space="preserve"> за 2025/26 получены в размере 3 849 651,71 рублей, включая 2 210,03 руб., зачтенные с других статей. Не оплачен садоводами членский взнос 2025/26 в размере 93 375,02 руб., причем садоводы 8 участков не оплатили этот членский взнос полностью, а садовод одного участка не оплатил частично.  </w:t>
      </w:r>
    </w:p>
    <w:p w14:paraId="34244A7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Собраны с садоводов </w:t>
      </w:r>
      <w:r>
        <w:rPr>
          <w:rFonts w:ascii="Times New Roman" w:hAnsi="Times New Roman" w:eastAsia="Times New Roman" w:cs="Times New Roman"/>
          <w:b/>
          <w:bCs/>
          <w:color w:val="2B2B2B"/>
          <w:sz w:val="24"/>
          <w:szCs w:val="24"/>
          <w:lang w:eastAsia="ru-RU"/>
        </w:rPr>
        <w:t>долги предыдущих периодов</w:t>
      </w:r>
      <w:r>
        <w:rPr>
          <w:rFonts w:ascii="Times New Roman" w:hAnsi="Times New Roman" w:eastAsia="Times New Roman" w:cs="Times New Roman"/>
          <w:bCs/>
          <w:color w:val="2B2B2B"/>
          <w:sz w:val="24"/>
          <w:szCs w:val="24"/>
          <w:lang w:eastAsia="ru-RU"/>
        </w:rPr>
        <w:t>: по членским взносам в размере 36 000 рублей.</w:t>
      </w:r>
    </w:p>
    <w:p w14:paraId="01E8ED86">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За несвоевременную оплату членских взносов с садоводов были взысканы </w:t>
      </w:r>
      <w:r>
        <w:rPr>
          <w:rFonts w:ascii="Times New Roman" w:hAnsi="Times New Roman" w:eastAsia="Times New Roman" w:cs="Times New Roman"/>
          <w:b/>
          <w:bCs/>
          <w:color w:val="2B2B2B"/>
          <w:sz w:val="24"/>
          <w:szCs w:val="24"/>
          <w:lang w:eastAsia="ru-RU"/>
        </w:rPr>
        <w:t>пени</w:t>
      </w:r>
      <w:r>
        <w:rPr>
          <w:rFonts w:ascii="Times New Roman" w:hAnsi="Times New Roman" w:eastAsia="Times New Roman" w:cs="Times New Roman"/>
          <w:bCs/>
          <w:color w:val="2B2B2B"/>
          <w:sz w:val="24"/>
          <w:szCs w:val="24"/>
          <w:lang w:eastAsia="ru-RU"/>
        </w:rPr>
        <w:t xml:space="preserve"> в размере 23 094,20 руб.;</w:t>
      </w:r>
    </w:p>
    <w:p w14:paraId="5FECD098">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Приход денежных средств от </w:t>
      </w:r>
      <w:r>
        <w:rPr>
          <w:rFonts w:ascii="Times New Roman" w:hAnsi="Times New Roman" w:eastAsia="Times New Roman" w:cs="Times New Roman"/>
          <w:b/>
          <w:bCs/>
          <w:color w:val="2B2B2B"/>
          <w:sz w:val="24"/>
          <w:szCs w:val="24"/>
          <w:lang w:eastAsia="ru-RU"/>
        </w:rPr>
        <w:t>аренды магазина</w:t>
      </w:r>
      <w:r>
        <w:rPr>
          <w:rFonts w:ascii="Times New Roman" w:hAnsi="Times New Roman" w:eastAsia="Times New Roman" w:cs="Times New Roman"/>
          <w:bCs/>
          <w:color w:val="2B2B2B"/>
          <w:sz w:val="24"/>
          <w:szCs w:val="24"/>
          <w:lang w:eastAsia="ru-RU"/>
        </w:rPr>
        <w:t xml:space="preserve"> составил 250 000,00 рублей, 50 000 руб. были оплачены 02.07.26 (уже в следующем периоде);</w:t>
      </w:r>
    </w:p>
    <w:p w14:paraId="1B1A8A7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Приход денежных средств от </w:t>
      </w:r>
      <w:r>
        <w:rPr>
          <w:rFonts w:ascii="Times New Roman" w:hAnsi="Times New Roman" w:eastAsia="Times New Roman" w:cs="Times New Roman"/>
          <w:b/>
          <w:bCs/>
          <w:color w:val="2B2B2B"/>
          <w:sz w:val="24"/>
          <w:szCs w:val="24"/>
          <w:lang w:eastAsia="ru-RU"/>
        </w:rPr>
        <w:t>взносов в инфраструктуру</w:t>
      </w:r>
      <w:r>
        <w:rPr>
          <w:rFonts w:ascii="Times New Roman" w:hAnsi="Times New Roman" w:eastAsia="Times New Roman" w:cs="Times New Roman"/>
          <w:bCs/>
          <w:color w:val="2B2B2B"/>
          <w:sz w:val="24"/>
          <w:szCs w:val="24"/>
          <w:lang w:eastAsia="ru-RU"/>
        </w:rPr>
        <w:t xml:space="preserve"> в виде:.</w:t>
      </w:r>
    </w:p>
    <w:p w14:paraId="371E5119">
      <w:pPr>
        <w:pStyle w:val="20"/>
        <w:numPr>
          <w:ilvl w:val="0"/>
          <w:numId w:val="1"/>
        </w:num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взноса за неучастие в субботнике в размере 21 500 руб.</w:t>
      </w:r>
    </w:p>
    <w:p w14:paraId="01D8FF81">
      <w:pPr>
        <w:jc w:val="both"/>
        <w:rPr>
          <w:rFonts w:ascii="Calibri" w:hAnsi="Calibri" w:eastAsia="Times New Roman" w:cs="Calibri"/>
          <w:lang w:eastAsia="ru-RU"/>
        </w:rPr>
      </w:pPr>
      <w:r>
        <w:rPr>
          <w:rFonts w:ascii="Times New Roman" w:hAnsi="Times New Roman" w:eastAsia="Times New Roman" w:cs="Times New Roman"/>
          <w:bCs/>
          <w:color w:val="2B2B2B"/>
          <w:sz w:val="24"/>
          <w:szCs w:val="24"/>
          <w:lang w:eastAsia="ru-RU"/>
        </w:rPr>
        <w:t xml:space="preserve">     - В этом отчетном периоде получены </w:t>
      </w:r>
      <w:r>
        <w:rPr>
          <w:rFonts w:ascii="Times New Roman" w:hAnsi="Times New Roman" w:eastAsia="Times New Roman" w:cs="Times New Roman"/>
          <w:b/>
          <w:bCs/>
          <w:color w:val="2B2B2B"/>
          <w:sz w:val="24"/>
          <w:szCs w:val="24"/>
          <w:lang w:eastAsia="ru-RU"/>
        </w:rPr>
        <w:t>проценты по депозиту</w:t>
      </w:r>
      <w:r>
        <w:rPr>
          <w:rFonts w:ascii="Times New Roman" w:hAnsi="Times New Roman" w:eastAsia="Times New Roman" w:cs="Times New Roman"/>
          <w:bCs/>
          <w:color w:val="2B2B2B"/>
          <w:sz w:val="24"/>
          <w:szCs w:val="24"/>
          <w:lang w:eastAsia="ru-RU"/>
        </w:rPr>
        <w:t xml:space="preserve"> в размере </w:t>
      </w:r>
      <w:r>
        <w:rPr>
          <w:rFonts w:ascii="Calibri" w:hAnsi="Calibri" w:eastAsia="Times New Roman" w:cs="Calibri"/>
          <w:lang w:eastAsia="ru-RU"/>
        </w:rPr>
        <w:t>232 233,34 руб.;</w:t>
      </w:r>
    </w:p>
    <w:p w14:paraId="3DE6483D">
      <w:pPr>
        <w:spacing w:before="180" w:after="180" w:line="276" w:lineRule="auto"/>
        <w:jc w:val="both"/>
        <w:rPr>
          <w:rFonts w:ascii="Times New Roman" w:hAnsi="Times New Roman" w:eastAsia="Times New Roman" w:cs="Times New Roman"/>
          <w:b/>
          <w:bCs/>
          <w:color w:val="2B2B2B"/>
          <w:sz w:val="24"/>
          <w:szCs w:val="24"/>
          <w:lang w:eastAsia="ru-RU"/>
        </w:rPr>
      </w:pPr>
      <w:r>
        <w:rPr>
          <w:rFonts w:ascii="Times New Roman" w:hAnsi="Times New Roman" w:eastAsia="Times New Roman" w:cs="Times New Roman"/>
          <w:b/>
          <w:bCs/>
          <w:color w:val="2B2B2B"/>
          <w:sz w:val="24"/>
          <w:szCs w:val="24"/>
          <w:lang w:eastAsia="ru-RU"/>
        </w:rPr>
        <w:t>2.3.2. Статьи расхода</w:t>
      </w:r>
    </w:p>
    <w:p w14:paraId="48C56EB8">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Земельный налог за земли общего пользования</w:t>
      </w:r>
      <w:r>
        <w:rPr>
          <w:rFonts w:ascii="Times New Roman" w:hAnsi="Times New Roman" w:eastAsia="Times New Roman" w:cs="Times New Roman"/>
          <w:bCs/>
          <w:color w:val="2B2B2B"/>
          <w:sz w:val="24"/>
          <w:szCs w:val="24"/>
          <w:lang w:eastAsia="ru-RU"/>
        </w:rPr>
        <w:t xml:space="preserve"> - 80 386,00 руб. Оплачены 3 и 4 кварталы 2025 года, 1 и 2 кварталы 2026 года. </w:t>
      </w:r>
    </w:p>
    <w:p w14:paraId="7DB464E5">
      <w:pPr>
        <w:jc w:val="both"/>
        <w:rPr>
          <w:rFonts w:ascii="Calibri" w:hAnsi="Calibri" w:eastAsia="Times New Roman" w:cs="Calibri"/>
          <w:color w:val="000000"/>
          <w:sz w:val="24"/>
          <w:szCs w:val="24"/>
          <w:lang w:eastAsia="ru-RU"/>
        </w:rPr>
      </w:pPr>
      <w:r>
        <w:rPr>
          <w:rFonts w:ascii="Times New Roman" w:hAnsi="Times New Roman" w:eastAsia="Times New Roman" w:cs="Times New Roman"/>
          <w:bCs/>
          <w:color w:val="2B2B2B"/>
          <w:sz w:val="24"/>
          <w:szCs w:val="24"/>
          <w:lang w:eastAsia="ru-RU"/>
        </w:rPr>
        <w:t xml:space="preserve">     </w:t>
      </w: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
          <w:color w:val="000000"/>
          <w:sz w:val="24"/>
          <w:szCs w:val="24"/>
          <w:lang w:eastAsia="ru-RU"/>
        </w:rPr>
        <w:t xml:space="preserve">Вывоз ТКО (мусора) </w:t>
      </w:r>
      <w:r>
        <w:rPr>
          <w:rFonts w:ascii="Times New Roman" w:hAnsi="Times New Roman" w:eastAsia="Times New Roman" w:cs="Times New Roman"/>
          <w:color w:val="000000"/>
          <w:sz w:val="24"/>
          <w:szCs w:val="24"/>
          <w:lang w:eastAsia="ru-RU"/>
        </w:rPr>
        <w:t xml:space="preserve">– затраты на 30.06.26 составили 796 651,79 руб., из них </w:t>
      </w:r>
      <w:r>
        <w:rPr>
          <w:rFonts w:ascii="Calibri" w:hAnsi="Calibri" w:eastAsia="Times New Roman" w:cs="Calibri"/>
          <w:color w:val="000000"/>
          <w:sz w:val="24"/>
          <w:szCs w:val="24"/>
          <w:lang w:eastAsia="ru-RU"/>
        </w:rPr>
        <w:t xml:space="preserve">77 380,16  </w:t>
      </w:r>
      <w:r>
        <w:rPr>
          <w:rFonts w:ascii="Times New Roman" w:hAnsi="Times New Roman" w:eastAsia="Times New Roman" w:cs="Times New Roman"/>
          <w:color w:val="000000"/>
          <w:sz w:val="24"/>
          <w:szCs w:val="24"/>
          <w:lang w:eastAsia="ru-RU"/>
        </w:rPr>
        <w:t xml:space="preserve">руб. за июнь 2025 года, но июнь 2026 года войдет в следующий отчетный период. За отчетный период 2025/26 вывезено 702 м3 мусора, за аналогичный период прошлого отчетного периода 2024/25 - 642 м3 на сумму 648 581,88   руб., также с июнем предыдущего периода, но без июня последнего. </w:t>
      </w:r>
    </w:p>
    <w:p w14:paraId="307292F0">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Контейнер 27 м3 (ПУХТО)</w:t>
      </w:r>
      <w:r>
        <w:rPr>
          <w:rFonts w:ascii="Times New Roman" w:hAnsi="Times New Roman" w:eastAsia="Times New Roman" w:cs="Times New Roman"/>
          <w:color w:val="000000"/>
          <w:sz w:val="24"/>
          <w:szCs w:val="24"/>
          <w:lang w:eastAsia="ru-RU"/>
        </w:rPr>
        <w:t xml:space="preserve"> – было вывезено 5 контейнеров (по два осенью и весной и 1 после уборки газовой будки), суммарно 126 м3 на 140014 руб. По сравнению с прошлым периодом, крупногабаритного мусора было вывезено на 45 м3 больше.</w:t>
      </w:r>
    </w:p>
    <w:p w14:paraId="48A5C08D">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 xml:space="preserve">Исправление технической ошибки по межеванию ЗОП в связи с изменением системы координат – </w:t>
      </w:r>
      <w:r>
        <w:rPr>
          <w:rFonts w:ascii="Times New Roman" w:hAnsi="Times New Roman" w:eastAsia="Times New Roman" w:cs="Times New Roman"/>
          <w:color w:val="000000"/>
          <w:sz w:val="24"/>
          <w:szCs w:val="24"/>
          <w:lang w:eastAsia="ru-RU"/>
        </w:rPr>
        <w:t>затраты составили 50 000 руб. Ошибки исправлены с значительно меньшими затратами. Реперные точки вынести в натуру в данном отчетном периоде не получилось. Есть договоренность о выносе реперных точек в натуру в следующем отчетном периоде.</w:t>
      </w:r>
    </w:p>
    <w:p w14:paraId="6AD5819A">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 xml:space="preserve">Установка видеокамер – </w:t>
      </w:r>
      <w:r>
        <w:rPr>
          <w:rFonts w:ascii="Times New Roman" w:hAnsi="Times New Roman" w:eastAsia="Times New Roman" w:cs="Times New Roman"/>
          <w:color w:val="000000"/>
          <w:sz w:val="24"/>
          <w:szCs w:val="24"/>
          <w:lang w:eastAsia="ru-RU"/>
        </w:rPr>
        <w:t>из-за загруженности Форестнет установка видеокамер перенесена на следующий отчетный период.</w:t>
      </w:r>
    </w:p>
    <w:p w14:paraId="21F83B7F">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 xml:space="preserve">Содержание дорог (подсыпка ЩПС): центральной, от въезда в СНТ вдоль Выборгского шоссе в новом садоводстве и 12-ой линии </w:t>
      </w:r>
      <w:r>
        <w:rPr>
          <w:rFonts w:ascii="Times New Roman" w:hAnsi="Times New Roman" w:eastAsia="Times New Roman" w:cs="Times New Roman"/>
          <w:color w:val="000000"/>
          <w:sz w:val="24"/>
          <w:szCs w:val="24"/>
          <w:lang w:eastAsia="ru-RU"/>
        </w:rPr>
        <w:t>– затраты на ремонт дорог СНТ  составили</w:t>
      </w:r>
      <w:r>
        <w:t xml:space="preserve"> </w:t>
      </w:r>
      <w:r>
        <w:rPr>
          <w:rFonts w:ascii="Times New Roman" w:hAnsi="Times New Roman" w:eastAsia="Times New Roman" w:cs="Times New Roman"/>
          <w:color w:val="000000"/>
          <w:sz w:val="24"/>
          <w:szCs w:val="24"/>
          <w:lang w:eastAsia="ru-RU"/>
        </w:rPr>
        <w:t>221 429 руб.</w:t>
      </w:r>
    </w:p>
    <w:p w14:paraId="298B208C">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color w:val="000000"/>
          <w:sz w:val="24"/>
          <w:szCs w:val="24"/>
          <w:lang w:eastAsia="ru-RU"/>
        </w:rPr>
        <w:t xml:space="preserve">    - Суммарные затраты на оплату электроэнергии для нужд СНТ</w:t>
      </w:r>
      <w:r>
        <w:rPr>
          <w:rFonts w:ascii="Times New Roman" w:hAnsi="Times New Roman" w:eastAsia="Times New Roman" w:cs="Times New Roman"/>
          <w:color w:val="000000"/>
          <w:sz w:val="24"/>
          <w:szCs w:val="24"/>
          <w:lang w:eastAsia="ru-RU"/>
        </w:rPr>
        <w:t xml:space="preserve"> составили 148 466,60  руб, из которых:</w:t>
      </w:r>
    </w:p>
    <w:p w14:paraId="42F2F5F1">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Расходы на уличное освещение</w:t>
      </w:r>
      <w:r>
        <w:rPr>
          <w:rFonts w:ascii="Times New Roman" w:hAnsi="Times New Roman" w:eastAsia="Times New Roman" w:cs="Times New Roman"/>
          <w:bCs/>
          <w:color w:val="2B2B2B"/>
          <w:sz w:val="24"/>
          <w:szCs w:val="24"/>
          <w:lang w:eastAsia="ru-RU"/>
        </w:rPr>
        <w:t xml:space="preserve"> – составили 106 114,84  руб;. </w:t>
      </w:r>
    </w:p>
    <w:p w14:paraId="5CD275E6">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Электроэнергия на водоснабжение</w:t>
      </w:r>
      <w:r>
        <w:rPr>
          <w:rFonts w:ascii="Times New Roman" w:hAnsi="Times New Roman" w:eastAsia="Times New Roman" w:cs="Times New Roman"/>
          <w:bCs/>
          <w:color w:val="2B2B2B"/>
          <w:sz w:val="24"/>
          <w:szCs w:val="24"/>
          <w:lang w:eastAsia="ru-RU"/>
        </w:rPr>
        <w:t xml:space="preserve"> – расходы составили 22 608,15  руб;. </w:t>
      </w:r>
    </w:p>
    <w:p w14:paraId="54414E3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w:t>
      </w:r>
      <w:r>
        <w:rPr>
          <w:rFonts w:ascii="Times New Roman" w:hAnsi="Times New Roman" w:eastAsia="Times New Roman" w:cs="Times New Roman"/>
          <w:b/>
          <w:bCs/>
          <w:color w:val="2B2B2B"/>
          <w:sz w:val="24"/>
          <w:szCs w:val="24"/>
          <w:lang w:eastAsia="ru-RU"/>
        </w:rPr>
        <w:t>- Расходы на электроэнергию гараж, правление, шлагбаумы –</w:t>
      </w:r>
      <w:r>
        <w:rPr>
          <w:rFonts w:ascii="Times New Roman" w:hAnsi="Times New Roman" w:eastAsia="Times New Roman" w:cs="Times New Roman"/>
          <w:bCs/>
          <w:color w:val="2B2B2B"/>
          <w:sz w:val="24"/>
          <w:szCs w:val="24"/>
          <w:lang w:eastAsia="ru-RU"/>
        </w:rPr>
        <w:t>составили 19 743,61   руб;</w:t>
      </w:r>
    </w:p>
    <w:p w14:paraId="5BA306EE">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
          <w:bCs/>
          <w:color w:val="2B2B2B"/>
          <w:sz w:val="24"/>
          <w:szCs w:val="24"/>
          <w:lang w:eastAsia="ru-RU"/>
        </w:rPr>
        <w:t xml:space="preserve">       - Расходные материалы для содержания общего имущества</w:t>
      </w:r>
      <w:r>
        <w:rPr>
          <w:rFonts w:ascii="Times New Roman" w:hAnsi="Times New Roman" w:eastAsia="Times New Roman" w:cs="Times New Roman"/>
          <w:bCs/>
          <w:color w:val="2B2B2B"/>
          <w:sz w:val="24"/>
          <w:szCs w:val="24"/>
          <w:lang w:eastAsia="ru-RU"/>
        </w:rPr>
        <w:t xml:space="preserve"> – на приобретение материалов (светодиодные светильники, комплектующие для их подключения, комплектующие для водопровода) было потрачено 194 936,41   руб., из которых 183 525,21 руб.  материалы для аварийной замены водопровода на ПНД по Центральной дороге, что повлекло за собой перерасход данной статьи сметы;</w:t>
      </w:r>
    </w:p>
    <w:p w14:paraId="388FFCA7">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Разборка (осень), сборка (весна) водопровода и мытье баков</w:t>
      </w:r>
      <w:r>
        <w:rPr>
          <w:rFonts w:ascii="Times New Roman" w:hAnsi="Times New Roman" w:eastAsia="Times New Roman" w:cs="Times New Roman"/>
          <w:bCs/>
          <w:color w:val="2B2B2B"/>
          <w:sz w:val="24"/>
          <w:szCs w:val="24"/>
          <w:lang w:eastAsia="ru-RU"/>
        </w:rPr>
        <w:t>– выполнены в пределах сметы;</w:t>
      </w:r>
    </w:p>
    <w:p w14:paraId="7D483CC1">
      <w:pPr>
        <w:spacing w:before="180" w:after="180" w:line="276" w:lineRule="auto"/>
        <w:jc w:val="both"/>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 xml:space="preserve">Очистка ВСЕХ дорог от снега в зимний период – </w:t>
      </w:r>
      <w:r>
        <w:rPr>
          <w:rFonts w:ascii="Times New Roman" w:hAnsi="Times New Roman" w:eastAsia="Times New Roman" w:cs="Times New Roman"/>
          <w:color w:val="000000"/>
          <w:sz w:val="24"/>
          <w:szCs w:val="24"/>
          <w:lang w:eastAsia="ru-RU"/>
        </w:rPr>
        <w:t>в связи с погодными условиями потрачено 68 700,00 руб., экономия составила 181 300 руб.;.</w:t>
      </w:r>
      <w:r>
        <w:t xml:space="preserve"> </w:t>
      </w:r>
    </w:p>
    <w:p w14:paraId="10C542F3">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cs="Times New Roman"/>
        </w:rPr>
        <w:t xml:space="preserve">  </w:t>
      </w:r>
      <w:r>
        <w:rPr>
          <w:rFonts w:ascii="Times New Roman" w:hAnsi="Times New Roman" w:cs="Times New Roman"/>
          <w:b/>
        </w:rPr>
        <w:t xml:space="preserve">  </w:t>
      </w:r>
      <w:r>
        <w:rPr>
          <w:rFonts w:ascii="Times New Roman" w:hAnsi="Times New Roman" w:cs="Times New Roman"/>
          <w:b/>
          <w:sz w:val="24"/>
          <w:szCs w:val="24"/>
        </w:rPr>
        <w:t>- Благоустройство территории общего пользования (ГПХ)</w:t>
      </w:r>
      <w:r>
        <w:rPr>
          <w:rFonts w:ascii="Times New Roman" w:hAnsi="Times New Roman" w:cs="Times New Roman"/>
          <w:sz w:val="24"/>
          <w:szCs w:val="24"/>
        </w:rPr>
        <w:t xml:space="preserve"> – уборка мусорных площадок, покос травы, благоустройство площадки для проведения собраний. Расход составил 117 125,00   руб. Перерасход данной статьи составил 17 125 руб.</w:t>
      </w:r>
    </w:p>
    <w:p w14:paraId="15649A9D">
      <w:pPr>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b/>
          <w:color w:val="000000"/>
          <w:sz w:val="24"/>
          <w:szCs w:val="24"/>
          <w:lang w:eastAsia="ru-RU"/>
        </w:rPr>
        <w:t xml:space="preserve">    - Договоры ГПХ (по ремонту и обслуживанию общего имущества)– </w:t>
      </w:r>
      <w:r>
        <w:rPr>
          <w:rFonts w:ascii="Times New Roman" w:hAnsi="Times New Roman" w:eastAsia="Times New Roman" w:cs="Times New Roman"/>
          <w:color w:val="000000"/>
          <w:sz w:val="24"/>
          <w:szCs w:val="24"/>
          <w:lang w:eastAsia="ru-RU"/>
        </w:rPr>
        <w:t xml:space="preserve">к данной статье относятся все ремонтно-восстановительные работы, связанные с поддержанием общего имущества в работоспособном состоянии. По данной статье было израсходовано 320 662,42   руб, Сюда вошли такие работы, как ремонты шлагбаумов, ремонт насоса, замена светильников. Только 295 300 руб. диагностика и замена скважинного насоса и блока управления. Перерасход составил  220 662,42  руб. </w:t>
      </w:r>
    </w:p>
    <w:p w14:paraId="7A206D5B">
      <w:pPr>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 xml:space="preserve">Комиссия банка  (эквайринг) </w:t>
      </w:r>
      <w:r>
        <w:rPr>
          <w:rFonts w:ascii="Times New Roman" w:hAnsi="Times New Roman" w:eastAsia="Times New Roman" w:cs="Times New Roman"/>
          <w:bCs/>
          <w:color w:val="2B2B2B"/>
          <w:sz w:val="24"/>
          <w:szCs w:val="24"/>
          <w:lang w:eastAsia="ru-RU"/>
        </w:rPr>
        <w:t>– затраты составили</w:t>
      </w:r>
      <w:r>
        <w:t xml:space="preserve"> </w:t>
      </w:r>
      <w:r>
        <w:rPr>
          <w:rFonts w:ascii="Times New Roman" w:hAnsi="Times New Roman" w:eastAsia="Times New Roman" w:cs="Times New Roman"/>
          <w:bCs/>
          <w:color w:val="2B2B2B"/>
          <w:sz w:val="24"/>
          <w:szCs w:val="24"/>
          <w:lang w:eastAsia="ru-RU"/>
        </w:rPr>
        <w:t xml:space="preserve">33 266,65  руб.; </w:t>
      </w:r>
    </w:p>
    <w:p w14:paraId="76E242D9">
      <w:pPr>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 xml:space="preserve">Комиссия банка, ведение счета – </w:t>
      </w:r>
      <w:r>
        <w:rPr>
          <w:rFonts w:ascii="Times New Roman" w:hAnsi="Times New Roman" w:eastAsia="Times New Roman" w:cs="Times New Roman"/>
          <w:bCs/>
          <w:color w:val="2B2B2B"/>
          <w:sz w:val="24"/>
          <w:szCs w:val="24"/>
          <w:lang w:eastAsia="ru-RU"/>
        </w:rPr>
        <w:t>составила 64 815,37  руб. Перерасход составил 14 815,37 руб.</w:t>
      </w:r>
    </w:p>
    <w:p w14:paraId="2187762A">
      <w:pPr>
        <w:jc w:val="both"/>
        <w:rPr>
          <w:rFonts w:ascii="Arial" w:hAnsi="Arial" w:eastAsia="Times New Roman" w:cs="Arial"/>
          <w:color w:val="000000"/>
          <w:lang w:eastAsia="ru-RU"/>
        </w:rPr>
      </w:pPr>
      <w:r>
        <w:rPr>
          <w:rFonts w:ascii="Arial" w:hAnsi="Arial" w:eastAsia="Times New Roman" w:cs="Arial"/>
          <w:b/>
          <w:color w:val="000000"/>
          <w:lang w:eastAsia="ru-RU"/>
        </w:rPr>
        <w:t xml:space="preserve">     - Банк-клиент (услуги связи) </w:t>
      </w:r>
      <w:r>
        <w:rPr>
          <w:rFonts w:ascii="Arial" w:hAnsi="Arial" w:eastAsia="Times New Roman" w:cs="Arial"/>
          <w:color w:val="000000"/>
          <w:lang w:eastAsia="ru-RU"/>
        </w:rPr>
        <w:t>– потратили 1 800 руб.;</w:t>
      </w:r>
    </w:p>
    <w:p w14:paraId="463E8E87">
      <w:pPr>
        <w:spacing w:after="0" w:line="240" w:lineRule="auto"/>
        <w:jc w:val="both"/>
        <w:rPr>
          <w:rFonts w:ascii="Arial" w:hAnsi="Arial" w:eastAsia="Times New Roman" w:cs="Arial"/>
          <w:color w:val="333333"/>
          <w:lang w:eastAsia="ru-RU"/>
        </w:rPr>
      </w:pPr>
      <w:r>
        <w:rPr>
          <w:rFonts w:ascii="Arial" w:hAnsi="Arial" w:eastAsia="Times New Roman" w:cs="Arial"/>
          <w:b/>
          <w:color w:val="333333"/>
          <w:lang w:eastAsia="ru-RU"/>
        </w:rPr>
        <w:t xml:space="preserve">     - Обслуживание программ для ФНС (СБИС, 1С) </w:t>
      </w:r>
      <w:r>
        <w:rPr>
          <w:rFonts w:ascii="Arial" w:hAnsi="Arial" w:eastAsia="Times New Roman" w:cs="Arial"/>
          <w:color w:val="333333"/>
          <w:lang w:eastAsia="ru-RU"/>
        </w:rPr>
        <w:t xml:space="preserve">– затраты составили 74 938,00     руб., из которых: СБИС – 16 000 руб (на 2 года)., 1С ИТС – 21 204 руб, 1С СНТ – 19 800 руб., 1С облако – 15 444 руб. Покупка рутокен - 2 490,00 руб. - в связи с переходом ФНС с 01.04.26 на новый ГОСТ шифрования </w:t>
      </w:r>
    </w:p>
    <w:p w14:paraId="4426F7A0">
      <w:pPr>
        <w:spacing w:after="0" w:line="240" w:lineRule="auto"/>
        <w:jc w:val="both"/>
        <w:rPr>
          <w:rFonts w:ascii="Times New Roman" w:hAnsi="Times New Roman" w:eastAsia="Times New Roman" w:cs="Times New Roman"/>
          <w:bCs/>
          <w:color w:val="2B2B2B"/>
          <w:sz w:val="24"/>
          <w:szCs w:val="24"/>
          <w:lang w:eastAsia="ru-RU"/>
        </w:rPr>
      </w:pPr>
      <w:r>
        <w:rPr>
          <w:rFonts w:ascii="Arial" w:hAnsi="Arial" w:eastAsia="Times New Roman" w:cs="Arial"/>
          <w:b/>
          <w:color w:val="333333"/>
          <w:lang w:eastAsia="ru-RU"/>
        </w:rPr>
        <w:t xml:space="preserve">     - Оплата связи (общественный телефон) </w:t>
      </w:r>
      <w:r>
        <w:rPr>
          <w:rFonts w:ascii="Arial" w:hAnsi="Arial" w:eastAsia="Times New Roman" w:cs="Arial"/>
          <w:color w:val="333333"/>
          <w:lang w:eastAsia="ru-RU"/>
        </w:rPr>
        <w:t xml:space="preserve">– </w:t>
      </w:r>
      <w:r>
        <w:rPr>
          <w:rFonts w:ascii="Times New Roman" w:hAnsi="Times New Roman" w:eastAsia="Times New Roman" w:cs="Times New Roman"/>
          <w:bCs/>
          <w:color w:val="2B2B2B"/>
          <w:sz w:val="24"/>
          <w:szCs w:val="24"/>
          <w:lang w:eastAsia="ru-RU"/>
        </w:rPr>
        <w:t xml:space="preserve">затраты составили 4 970 руб. </w:t>
      </w:r>
    </w:p>
    <w:p w14:paraId="5E6D5395">
      <w:pPr>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Оплата связи (2 шлагбаума)</w:t>
      </w:r>
      <w:r>
        <w:rPr>
          <w:rFonts w:ascii="Times New Roman" w:hAnsi="Times New Roman" w:eastAsia="Times New Roman" w:cs="Times New Roman"/>
          <w:color w:val="000000"/>
          <w:sz w:val="24"/>
          <w:szCs w:val="24"/>
          <w:lang w:eastAsia="ru-RU"/>
        </w:rPr>
        <w:t xml:space="preserve"> – ничего не потрачено, т.к. затраты не были оформлены;</w:t>
      </w:r>
    </w:p>
    <w:p w14:paraId="17D22403">
      <w:pPr>
        <w:spacing w:after="0" w:line="240" w:lineRule="auto"/>
        <w:jc w:val="both"/>
        <w:rPr>
          <w:rFonts w:ascii="Arial" w:hAnsi="Arial" w:eastAsia="Times New Roman" w:cs="Arial"/>
          <w:color w:val="333333"/>
          <w:lang w:eastAsia="ru-RU"/>
        </w:rPr>
      </w:pPr>
      <w:r>
        <w:rPr>
          <w:rFonts w:ascii="Arial" w:hAnsi="Arial" w:eastAsia="Times New Roman" w:cs="Arial"/>
          <w:b/>
          <w:color w:val="333333"/>
          <w:lang w:eastAsia="ru-RU"/>
        </w:rPr>
        <w:t xml:space="preserve">     -  Официальный сайт оплата в год ( доменное имя, хостинг) </w:t>
      </w:r>
      <w:r>
        <w:rPr>
          <w:rFonts w:ascii="Arial" w:hAnsi="Arial" w:eastAsia="Times New Roman" w:cs="Arial"/>
          <w:color w:val="333333"/>
          <w:lang w:eastAsia="ru-RU"/>
        </w:rPr>
        <w:t>– расходы составили 2 928 руб., оплатили хостинг сразу за год, получили в подарок оплату за доменное имя.</w:t>
      </w:r>
    </w:p>
    <w:p w14:paraId="7F0236B1">
      <w:pPr>
        <w:spacing w:before="180" w:after="180" w:line="276" w:lineRule="auto"/>
        <w:jc w:val="both"/>
        <w:rPr>
          <w:rFonts w:ascii="Arial" w:hAnsi="Arial" w:eastAsia="Times New Roman" w:cs="Arial"/>
          <w:color w:val="333333"/>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 xml:space="preserve">Транспортные расходы (председатель, бухгалтер) – </w:t>
      </w:r>
      <w:r>
        <w:rPr>
          <w:rFonts w:ascii="Times New Roman" w:hAnsi="Times New Roman" w:eastAsia="Times New Roman" w:cs="Times New Roman"/>
          <w:bCs/>
          <w:color w:val="2B2B2B"/>
          <w:sz w:val="24"/>
          <w:szCs w:val="24"/>
          <w:lang w:eastAsia="ru-RU"/>
        </w:rPr>
        <w:t>расходы составили</w:t>
      </w:r>
      <w:r>
        <w:rPr>
          <w:rFonts w:ascii="Times New Roman" w:hAnsi="Times New Roman" w:eastAsia="Times New Roman" w:cs="Times New Roman"/>
          <w:b/>
          <w:bCs/>
          <w:color w:val="2B2B2B"/>
          <w:sz w:val="24"/>
          <w:szCs w:val="24"/>
          <w:lang w:eastAsia="ru-RU"/>
        </w:rPr>
        <w:t xml:space="preserve"> </w:t>
      </w:r>
      <w:r>
        <w:rPr>
          <w:rFonts w:ascii="Times New Roman" w:hAnsi="Times New Roman" w:eastAsia="Times New Roman" w:cs="Times New Roman"/>
          <w:bCs/>
          <w:color w:val="2B2B2B"/>
          <w:sz w:val="24"/>
          <w:szCs w:val="24"/>
          <w:lang w:eastAsia="ru-RU"/>
        </w:rPr>
        <w:t xml:space="preserve">15 425,41  руб. Поездки в Гатчину на съезд садоводов России, на конференции и встречи во Всеволожск и Юкки, а также в Ленэнерго, МФЦ и т.п.; </w:t>
      </w:r>
    </w:p>
    <w:p w14:paraId="50743883">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 </w:t>
      </w:r>
      <w:r>
        <w:rPr>
          <w:rFonts w:ascii="Times New Roman" w:hAnsi="Times New Roman" w:eastAsia="Times New Roman" w:cs="Times New Roman"/>
          <w:b/>
          <w:bCs/>
          <w:color w:val="2B2B2B"/>
          <w:sz w:val="24"/>
          <w:szCs w:val="24"/>
          <w:lang w:eastAsia="ru-RU"/>
        </w:rPr>
        <w:t>Почтовые и канцелярские товары, расходный мат-ал для принтера, компьютера, заправка картриджей</w:t>
      </w:r>
      <w:r>
        <w:rPr>
          <w:rFonts w:ascii="Times New Roman" w:hAnsi="Times New Roman" w:eastAsia="Times New Roman" w:cs="Times New Roman"/>
          <w:bCs/>
          <w:color w:val="2B2B2B"/>
          <w:sz w:val="24"/>
          <w:szCs w:val="24"/>
          <w:lang w:eastAsia="ru-RU"/>
        </w:rPr>
        <w:t xml:space="preserve"> – затраты составили 16 070,62  руб. (бумага А4, заправка картриджей, рулонная лента для терминала, отправка писем садоводам о задолженностях с уведомлениями и т.п.);</w:t>
      </w:r>
    </w:p>
    <w:p w14:paraId="1E70A6AD">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
          <w:bCs/>
          <w:color w:val="2B2B2B"/>
          <w:sz w:val="24"/>
          <w:szCs w:val="24"/>
          <w:lang w:eastAsia="ru-RU"/>
        </w:rPr>
        <w:t xml:space="preserve">     - Аренда а/я</w:t>
      </w:r>
      <w:r>
        <w:rPr>
          <w:rFonts w:ascii="Times New Roman" w:hAnsi="Times New Roman" w:eastAsia="Times New Roman" w:cs="Times New Roman"/>
          <w:bCs/>
          <w:color w:val="2B2B2B"/>
          <w:sz w:val="24"/>
          <w:szCs w:val="24"/>
          <w:lang w:eastAsia="ru-RU"/>
        </w:rPr>
        <w:t xml:space="preserve"> в почтовом отделении 188632 в Сертолово – 15 425,41   руб в год;</w:t>
      </w:r>
    </w:p>
    <w:p w14:paraId="7091EF1C">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w:t>
      </w: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 xml:space="preserve">Фонд оплаты труда </w:t>
      </w:r>
      <w:r>
        <w:rPr>
          <w:rFonts w:ascii="Times New Roman" w:hAnsi="Times New Roman" w:eastAsia="Times New Roman" w:cs="Times New Roman"/>
          <w:color w:val="000000"/>
          <w:sz w:val="24"/>
          <w:szCs w:val="24"/>
          <w:lang w:eastAsia="ru-RU"/>
        </w:rPr>
        <w:t>– составил 1 109 850,77  руб.,;</w:t>
      </w:r>
    </w:p>
    <w:p w14:paraId="3CDA3AF5">
      <w:pPr>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Налоги и сборы ( в т.ч. с ФОТ, налог при УСН)</w:t>
      </w:r>
      <w:r>
        <w:rPr>
          <w:rFonts w:ascii="Times New Roman" w:hAnsi="Times New Roman" w:eastAsia="Times New Roman" w:cs="Times New Roman"/>
          <w:color w:val="000000"/>
          <w:sz w:val="24"/>
          <w:szCs w:val="24"/>
          <w:lang w:eastAsia="ru-RU"/>
        </w:rPr>
        <w:t>– сумма налогов составила 600 383,29   руб., для сокращения данной статьи, правление старается заключать договора на работы, в основном, с самозанятыми;</w:t>
      </w:r>
    </w:p>
    <w:p w14:paraId="2E0C24A5">
      <w:pPr>
        <w:spacing w:before="180" w:after="180" w:line="276" w:lineRule="auto"/>
        <w:jc w:val="both"/>
        <w:rPr>
          <w:rFonts w:ascii="Times New Roman" w:hAnsi="Times New Roman" w:eastAsia="Times New Roman" w:cs="Times New Roman"/>
          <w:bCs/>
          <w:color w:val="2B2B2B"/>
          <w:sz w:val="24"/>
          <w:szCs w:val="24"/>
          <w:lang w:eastAsia="ru-RU"/>
        </w:rPr>
      </w:pPr>
      <w:r>
        <w:rPr>
          <w:rFonts w:ascii="Times New Roman" w:hAnsi="Times New Roman" w:eastAsia="Times New Roman" w:cs="Times New Roman"/>
          <w:bCs/>
          <w:color w:val="2B2B2B"/>
          <w:sz w:val="24"/>
          <w:szCs w:val="24"/>
          <w:lang w:eastAsia="ru-RU"/>
        </w:rPr>
        <w:t xml:space="preserve">     </w:t>
      </w:r>
      <w:r>
        <w:rPr>
          <w:rFonts w:ascii="Times New Roman" w:hAnsi="Times New Roman" w:eastAsia="Times New Roman" w:cs="Times New Roman"/>
          <w:b/>
          <w:bCs/>
          <w:color w:val="2B2B2B"/>
          <w:sz w:val="24"/>
          <w:szCs w:val="24"/>
          <w:lang w:eastAsia="ru-RU"/>
        </w:rPr>
        <w:t xml:space="preserve">- Юридические и нотариальные услуги – </w:t>
      </w:r>
      <w:r>
        <w:rPr>
          <w:rFonts w:ascii="Times New Roman" w:hAnsi="Times New Roman" w:eastAsia="Times New Roman" w:cs="Times New Roman"/>
          <w:bCs/>
          <w:color w:val="2B2B2B"/>
          <w:sz w:val="24"/>
          <w:szCs w:val="24"/>
          <w:lang w:eastAsia="ru-RU"/>
        </w:rPr>
        <w:t>расходы по данной статье составили 10 000 руб.: подача судебных исков, сопровождение судебных разбирательств с присутствием на заседаниях, оплата госпошлины;</w:t>
      </w:r>
    </w:p>
    <w:p w14:paraId="00CC8C89">
      <w:pPr>
        <w:jc w:val="both"/>
        <w:rPr>
          <w:rFonts w:ascii="Arial" w:hAnsi="Arial" w:eastAsia="Times New Roman" w:cs="Arial"/>
          <w:color w:val="000000"/>
          <w:lang w:eastAsia="ru-RU"/>
        </w:rPr>
      </w:pP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
          <w:color w:val="000000"/>
          <w:sz w:val="24"/>
          <w:szCs w:val="24"/>
          <w:lang w:eastAsia="ru-RU"/>
        </w:rPr>
        <w:t xml:space="preserve">- </w:t>
      </w:r>
      <w:r>
        <w:rPr>
          <w:rFonts w:ascii="Arial" w:hAnsi="Arial" w:eastAsia="Times New Roman" w:cs="Arial"/>
          <w:b/>
          <w:color w:val="000000"/>
          <w:lang w:eastAsia="ru-RU"/>
        </w:rPr>
        <w:t xml:space="preserve">Подрезка кустарников и кронирование аварийных деревьев вдоль Центральной дороги,  дороги вдоль Выборгского шоссе в новом садоводстве, вдоль Старо - Белоостровской дороги, вдоль наружных границ СНТ с утилизацией– </w:t>
      </w:r>
      <w:r>
        <w:rPr>
          <w:rFonts w:ascii="Arial" w:hAnsi="Arial" w:eastAsia="Times New Roman" w:cs="Arial"/>
          <w:color w:val="000000"/>
          <w:lang w:eastAsia="ru-RU"/>
        </w:rPr>
        <w:t xml:space="preserve">затраты составили 221 429,00  руб. </w:t>
      </w:r>
    </w:p>
    <w:p w14:paraId="58455668">
      <w:pPr>
        <w:jc w:val="both"/>
        <w:rPr>
          <w:rFonts w:ascii="Times New Roman" w:hAnsi="Times New Roman" w:eastAsia="Times New Roman" w:cs="Times New Roman"/>
          <w:color w:val="000000"/>
          <w:lang w:eastAsia="ru-RU"/>
        </w:rPr>
      </w:pPr>
      <w:r>
        <w:rPr>
          <w:rFonts w:ascii="Times New Roman" w:hAnsi="Times New Roman" w:eastAsia="Times New Roman" w:cs="Times New Roman"/>
          <w:color w:val="000000"/>
          <w:sz w:val="24"/>
          <w:szCs w:val="24"/>
          <w:lang w:eastAsia="ru-RU"/>
        </w:rPr>
        <w:t xml:space="preserve">     - </w:t>
      </w:r>
      <w:r>
        <w:rPr>
          <w:rFonts w:ascii="Times New Roman" w:hAnsi="Times New Roman" w:eastAsia="Times New Roman" w:cs="Times New Roman"/>
          <w:b/>
          <w:color w:val="000000"/>
          <w:sz w:val="24"/>
          <w:szCs w:val="24"/>
          <w:lang w:eastAsia="ru-RU"/>
        </w:rPr>
        <w:t>Резервный фонд на аварийные случаи</w:t>
      </w:r>
      <w:r>
        <w:rPr>
          <w:rFonts w:ascii="Times New Roman" w:hAnsi="Times New Roman" w:eastAsia="Times New Roman" w:cs="Times New Roman"/>
          <w:color w:val="000000"/>
          <w:sz w:val="24"/>
          <w:szCs w:val="24"/>
          <w:lang w:eastAsia="ru-RU"/>
        </w:rPr>
        <w:t xml:space="preserve">–непредвиденная замена водопровода на ПНД по Центральной дороге в связи с разрывом трубы – затраты составили </w:t>
      </w:r>
      <w:r>
        <w:rPr>
          <w:rFonts w:ascii="Times New Roman" w:hAnsi="Times New Roman" w:eastAsia="Times New Roman" w:cs="Times New Roman"/>
          <w:color w:val="000000"/>
          <w:lang w:eastAsia="ru-RU"/>
        </w:rPr>
        <w:t xml:space="preserve">119 149,00 руб. </w:t>
      </w:r>
    </w:p>
    <w:p w14:paraId="48F6F16C">
      <w:pPr>
        <w:spacing w:before="180" w:after="180" w:line="276" w:lineRule="auto"/>
        <w:jc w:val="both"/>
        <w:rPr>
          <w:rFonts w:ascii="Times New Roman" w:hAnsi="Times New Roman" w:eastAsia="Times New Roman" w:cs="Times New Roman"/>
          <w:bCs/>
          <w:color w:val="2B2B2B"/>
          <w:sz w:val="24"/>
          <w:szCs w:val="24"/>
          <w:lang w:eastAsia="ru-RU"/>
        </w:rPr>
      </w:pPr>
      <w:r>
        <w:drawing>
          <wp:inline distT="0" distB="0" distL="0" distR="0">
            <wp:extent cx="5940425" cy="8265795"/>
            <wp:effectExtent l="0" t="0" r="3175" b="190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940425" cy="8265958"/>
                    </a:xfrm>
                    <a:prstGeom prst="rect">
                      <a:avLst/>
                    </a:prstGeom>
                    <a:noFill/>
                    <a:ln>
                      <a:noFill/>
                    </a:ln>
                  </pic:spPr>
                </pic:pic>
              </a:graphicData>
            </a:graphic>
          </wp:inline>
        </w:drawing>
      </w:r>
    </w:p>
    <w:p w14:paraId="468EFAB0">
      <w:pPr>
        <w:spacing w:before="180" w:after="180" w:line="276" w:lineRule="auto"/>
        <w:jc w:val="both"/>
        <w:rPr>
          <w:rFonts w:ascii="Times New Roman" w:hAnsi="Times New Roman" w:eastAsia="Times New Roman" w:cs="Times New Roman"/>
          <w:bCs/>
          <w:color w:val="2B2B2B"/>
          <w:sz w:val="24"/>
          <w:szCs w:val="24"/>
          <w:lang w:eastAsia="ru-RU"/>
        </w:rPr>
      </w:pPr>
    </w:p>
    <w:p w14:paraId="66BD5E17">
      <w:pPr>
        <w:spacing w:before="180" w:after="180" w:line="276" w:lineRule="auto"/>
        <w:jc w:val="both"/>
        <w:rPr>
          <w:rFonts w:ascii="Times New Roman" w:hAnsi="Times New Roman" w:eastAsia="Times New Roman" w:cs="Times New Roman"/>
          <w:bCs/>
          <w:color w:val="2B2B2B"/>
          <w:sz w:val="24"/>
          <w:szCs w:val="24"/>
          <w:lang w:eastAsia="ru-RU"/>
        </w:rPr>
      </w:pPr>
    </w:p>
    <w:p w14:paraId="3BF76ED4">
      <w:pPr>
        <w:spacing w:before="180" w:after="180" w:line="276" w:lineRule="auto"/>
        <w:jc w:val="both"/>
        <w:rPr>
          <w:rFonts w:ascii="Times New Roman" w:hAnsi="Times New Roman" w:eastAsia="Times New Roman" w:cs="Times New Roman"/>
          <w:b/>
          <w:bCs/>
          <w:color w:val="2B2B2B"/>
          <w:sz w:val="24"/>
          <w:szCs w:val="24"/>
          <w:lang w:eastAsia="ru-RU"/>
        </w:rPr>
      </w:pPr>
    </w:p>
    <w:p w14:paraId="4C44AEFA">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2.4. Электроснабжение</w:t>
      </w:r>
    </w:p>
    <w:p w14:paraId="01F98D2F">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2.4.1. За истекший отчетный период серьезных нарушений электроснабжения СНТ не было. </w:t>
      </w:r>
    </w:p>
    <w:p w14:paraId="493B0F94">
      <w:pPr>
        <w:jc w:val="both"/>
        <w:rPr>
          <w:rFonts w:ascii="Times New Roman" w:hAnsi="Times New Roman" w:eastAsia="Times New Roman" w:cs="Times New Roman"/>
          <w:b/>
          <w:bCs/>
          <w:lang w:eastAsia="ru-RU"/>
        </w:rPr>
      </w:pPr>
      <w:r>
        <w:rPr>
          <w:rFonts w:ascii="Times New Roman" w:hAnsi="Times New Roman" w:eastAsia="Times New Roman" w:cs="Times New Roman"/>
          <w:color w:val="2B2B2B"/>
          <w:sz w:val="24"/>
          <w:szCs w:val="24"/>
          <w:lang w:eastAsia="ru-RU"/>
        </w:rPr>
        <w:t>2.4.2. Финансовые отчисления в ПСК в целом составили </w:t>
      </w:r>
      <w:r>
        <w:rPr>
          <w:rFonts w:ascii="Times New Roman" w:hAnsi="Times New Roman" w:eastAsia="Times New Roman" w:cs="Times New Roman"/>
          <w:b/>
          <w:color w:val="000000"/>
          <w:sz w:val="24"/>
          <w:szCs w:val="24"/>
          <w:lang w:eastAsia="ru-RU"/>
        </w:rPr>
        <w:t>259 689,91 руб</w:t>
      </w:r>
      <w:r>
        <w:rPr>
          <w:rFonts w:ascii="Times New Roman" w:hAnsi="Times New Roman" w:eastAsia="Times New Roman" w:cs="Times New Roman"/>
          <w:color w:val="2B2B2B"/>
          <w:sz w:val="24"/>
          <w:szCs w:val="24"/>
          <w:lang w:eastAsia="ru-RU"/>
        </w:rPr>
        <w:t xml:space="preserve">., из которых оплата за израсходованную электроэнергию магазином в размере </w:t>
      </w:r>
      <w:r>
        <w:rPr>
          <w:rFonts w:ascii="Times New Roman" w:hAnsi="Times New Roman" w:eastAsia="Times New Roman" w:cs="Times New Roman"/>
          <w:b/>
          <w:color w:val="2B2B2B"/>
          <w:sz w:val="24"/>
          <w:szCs w:val="24"/>
          <w:lang w:eastAsia="ru-RU"/>
        </w:rPr>
        <w:t>111 223,31</w:t>
      </w:r>
      <w:r>
        <w:rPr>
          <w:rFonts w:ascii="Times New Roman" w:hAnsi="Times New Roman" w:eastAsia="Times New Roman" w:cs="Times New Roman"/>
          <w:b/>
          <w:bCs/>
          <w:lang w:eastAsia="ru-RU"/>
        </w:rPr>
        <w:t xml:space="preserve"> руб. на счет СНТ </w:t>
      </w:r>
      <w:r>
        <w:rPr>
          <w:rFonts w:ascii="Times New Roman" w:hAnsi="Times New Roman" w:eastAsia="Times New Roman" w:cs="Times New Roman"/>
          <w:color w:val="2B2B2B"/>
          <w:sz w:val="24"/>
          <w:szCs w:val="24"/>
          <w:lang w:eastAsia="ru-RU"/>
        </w:rPr>
        <w:t xml:space="preserve">произведена арендатором в полном объеме, но 14 642,35 руб. оплачены 02.07.2026 (в следущем отчетном периоде).  СНТ за отчетный период 2025/2026 израсходовало электроэнергии на общественные нужды (освещение, водоснабжение, шлагбаумы,  правление) </w:t>
      </w:r>
      <w:r>
        <w:rPr>
          <w:rFonts w:ascii="Times New Roman" w:hAnsi="Times New Roman" w:eastAsia="Times New Roman" w:cs="Times New Roman"/>
          <w:b/>
          <w:color w:val="2B2B2B"/>
          <w:sz w:val="24"/>
          <w:szCs w:val="24"/>
          <w:lang w:eastAsia="ru-RU"/>
        </w:rPr>
        <w:t>148 466,60 руб.</w:t>
      </w:r>
    </w:p>
    <w:p w14:paraId="04F8FA71">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000000"/>
          <w:sz w:val="24"/>
          <w:szCs w:val="24"/>
          <w:lang w:eastAsia="ru-RU"/>
        </w:rPr>
        <w:t xml:space="preserve">С 01.04.2023 оплаты в ПСК осуществляются только по показаниям с 13 общественных счетчиков, а не с общего счетчика СНТ. </w:t>
      </w:r>
    </w:p>
    <w:p w14:paraId="5804FFFB">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2.4.3. Работы по подключению трехфазного электроснабжения на 48 участков в соответствии с поданными данными и установленными узлами учета на опорах должны быть произведены после документального оформления ТП3444 и ТП3046. Частично подключения производятся по личным заявлениям собственников через сайт Ленэнерго.</w:t>
      </w:r>
    </w:p>
    <w:p w14:paraId="1306B324">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2.4.4. Работа с Ленэнерго по улучшению надежности электроснабжения СНТ продолжается. К новому ТП 3444 подключены 2 и 3 линии. К новому ТП3046 подключены 1 и 4 линии, 5 линия и «новое садоводство» пока остались на ТП 8521. Ленэнерго зимой выполнены работы по увеличению входящего напряжения по ВЛ10, благодаря чему напряжение на всех фазах у потребителей пришло в норму.</w:t>
      </w:r>
    </w:p>
    <w:p w14:paraId="18279B4E">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2.4.5. Все садоводы обязаны кронировать деревья под проводами ВЛ-0,4 около своих участков и проводов, идущих от опоры к дому.</w:t>
      </w:r>
    </w:p>
    <w:p w14:paraId="15D34BAD">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2.5. Водоснабжение</w:t>
      </w:r>
    </w:p>
    <w:p w14:paraId="4C4BD29A">
      <w:pPr>
        <w:spacing w:before="180" w:after="180" w:line="240"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     - Для обслуживания водопровода необходим доступ к нему на всей протяженности. На расстоянии 50см от трубы в каждую сторону не должно быть никаких преград в виде заборов, строений, деревьев и кустарников. На данный момент местами подойти к водопроводу не представляется возможным.</w:t>
      </w:r>
    </w:p>
    <w:p w14:paraId="03826443">
      <w:pPr>
        <w:spacing w:before="180" w:after="180" w:line="240"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     - После аварии на ВЛ-10, приведшей к потере фазы, к длительному падению напряжения и большому скачку напряжения, вышел из строя скважинный насос на водонапорной башне. Для возобновления работы был куплен новый насос и современная система управления насосом с расширенными функциями защиты;</w:t>
      </w:r>
    </w:p>
    <w:p w14:paraId="20659015">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2.6. Содержание дорог</w:t>
      </w:r>
    </w:p>
    <w:p w14:paraId="264C8B70">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Во избежание штрафных санкций осуществлено расширение Центральной дороги. Осуществлена ямочная подсыпка ЩПС по дорогам и линиям. </w:t>
      </w:r>
    </w:p>
    <w:p w14:paraId="7412DD06">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Поддержание линий в надлежащем состоянии  - ответственность садоводов, живущих на них. Каждый садовод обязан на расстоянии метра от забора ухаживать за территорией, обрезая кустарники, кронируя деревья, кося траву, убирая мусор. При осуществлении строительных работ садовод несет ответственность за восстановление линий и проездов до первоначального состояния.</w:t>
      </w:r>
    </w:p>
    <w:p w14:paraId="708CC835">
      <w:pPr>
        <w:spacing w:before="180" w:after="180" w:line="276" w:lineRule="auto"/>
        <w:jc w:val="both"/>
        <w:rPr>
          <w:rFonts w:ascii="Times New Roman" w:hAnsi="Times New Roman" w:eastAsia="Times New Roman" w:cs="Times New Roman"/>
          <w:color w:val="2B2B2B"/>
          <w:sz w:val="24"/>
          <w:szCs w:val="24"/>
          <w:lang w:eastAsia="ru-RU"/>
        </w:rPr>
      </w:pPr>
    </w:p>
    <w:p w14:paraId="63E9914A">
      <w:pPr>
        <w:spacing w:before="180" w:after="180" w:line="276" w:lineRule="auto"/>
        <w:jc w:val="both"/>
        <w:rPr>
          <w:rFonts w:ascii="Times New Roman" w:hAnsi="Times New Roman" w:eastAsia="Times New Roman" w:cs="Times New Roman"/>
          <w:color w:val="2B2B2B"/>
          <w:sz w:val="24"/>
          <w:szCs w:val="24"/>
          <w:lang w:eastAsia="ru-RU"/>
        </w:rPr>
      </w:pPr>
    </w:p>
    <w:p w14:paraId="27D422ED">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b/>
          <w:bCs/>
          <w:color w:val="2B2B2B"/>
          <w:sz w:val="24"/>
          <w:szCs w:val="24"/>
          <w:lang w:eastAsia="ru-RU"/>
        </w:rPr>
        <w:t>2.7. Вывоз мусора</w:t>
      </w:r>
    </w:p>
    <w:p w14:paraId="4606416F">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В октябре 2021г заключен договор СНТ с Региональным оператором по обращению с отходами. Вывоз мусора осуществляется по заявкам в зимний период и по графику в летний период. От момента подачи заявки до момента вывоза, в соответствии с договором, до трех дней. Пока не исполнена одна заявка, другую подать нельзя.</w:t>
      </w:r>
    </w:p>
    <w:p w14:paraId="00410DEA">
      <w:pPr>
        <w:spacing w:before="180" w:after="180" w:line="276" w:lineRule="auto"/>
        <w:jc w:val="both"/>
        <w:rPr>
          <w:rFonts w:ascii="Times New Roman" w:hAnsi="Times New Roman" w:eastAsia="Times New Roman" w:cs="Times New Roman"/>
          <w:color w:val="000000"/>
          <w:sz w:val="24"/>
          <w:szCs w:val="24"/>
          <w:lang w:eastAsia="ru-RU"/>
        </w:rPr>
      </w:pPr>
      <w:r>
        <w:rPr>
          <w:rFonts w:ascii="Times New Roman" w:hAnsi="Times New Roman" w:eastAsia="Times New Roman" w:cs="Times New Roman"/>
          <w:color w:val="2B2B2B"/>
          <w:sz w:val="24"/>
          <w:szCs w:val="24"/>
          <w:lang w:eastAsia="ru-RU"/>
        </w:rPr>
        <w:t>Ведется учет вывоза ТКО в виде таблицы (см. ниже).  В</w:t>
      </w:r>
      <w:r>
        <w:rPr>
          <w:rFonts w:ascii="Times New Roman" w:hAnsi="Times New Roman" w:eastAsia="Times New Roman" w:cs="Times New Roman"/>
          <w:color w:val="000000"/>
          <w:sz w:val="24"/>
          <w:szCs w:val="24"/>
          <w:lang w:eastAsia="ru-RU"/>
        </w:rPr>
        <w:t xml:space="preserve">есь отчетный период велась «борьба» с УК «Региональный оператор» за своевременный вывоз ТКО и за выставление актуальных счетов. Подано много жалоб на несвоевременный вывоз мусора с составлением актов и приложением фотоматериалов. Оформлено 7 актов на неправильно выставленные счета, по шести из них получено от УК соглашение с нашим возражением и переоформлены документы, седьмой в процессе согласования. </w:t>
      </w:r>
    </w:p>
    <w:p w14:paraId="0D8A1727">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Количество мусора у нас очень большое. Садоводы выкидывают в ПУХТО и на площадках крупногабаритный мусор, строительный мусор, мебель, сантехнику, пищевые и растительные отходы. Помимо этого растительные остатки (и не только) садоводы вывозят в ближайшие канавы и лесополосы, что не допустимо. Такие свалки устраиваются вдоль Выборгского и Старо-Белоостровского шоссе, на склоне в сторону СНТ ТВЧ, в лесополосе между нашим СНТ и СНТ «Березка», между нашим СНТ и СНТ «Полиграфмаш», которые превращаются либо в растущие с каждым годом кучи, либо в кашу. И служат рассадником антисанитарии и всякой «живности». </w:t>
      </w:r>
    </w:p>
    <w:p w14:paraId="1FA6A490">
      <w:pPr>
        <w:jc w:val="both"/>
        <w:rPr>
          <w:rFonts w:ascii="Times New Roman" w:hAnsi="Times New Roman" w:eastAsia="Times New Roman" w:cs="Times New Roman"/>
          <w:color w:val="2B2B2B"/>
          <w:sz w:val="24"/>
          <w:szCs w:val="24"/>
          <w:lang w:eastAsia="ru-RU"/>
        </w:rPr>
      </w:pPr>
      <w:r>
        <w:drawing>
          <wp:inline distT="0" distB="0" distL="0" distR="0">
            <wp:extent cx="5648325" cy="9591675"/>
            <wp:effectExtent l="0" t="0" r="0" b="952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676761" cy="9639982"/>
                    </a:xfrm>
                    <a:prstGeom prst="rect">
                      <a:avLst/>
                    </a:prstGeom>
                    <a:noFill/>
                    <a:ln>
                      <a:noFill/>
                    </a:ln>
                  </pic:spPr>
                </pic:pic>
              </a:graphicData>
            </a:graphic>
          </wp:inline>
        </w:drawing>
      </w:r>
    </w:p>
    <w:p w14:paraId="68F75257">
      <w:pPr>
        <w:jc w:val="both"/>
        <w:rPr>
          <w:rFonts w:ascii="Times New Roman" w:hAnsi="Times New Roman" w:eastAsia="Times New Roman" w:cs="Times New Roman"/>
          <w:b/>
          <w:color w:val="2B2B2B"/>
          <w:sz w:val="24"/>
          <w:szCs w:val="24"/>
          <w:lang w:eastAsia="ru-RU"/>
        </w:rPr>
      </w:pPr>
      <w:r>
        <w:rPr>
          <w:rFonts w:ascii="Times New Roman" w:hAnsi="Times New Roman" w:eastAsia="Times New Roman" w:cs="Times New Roman"/>
          <w:b/>
          <w:color w:val="2B2B2B"/>
          <w:sz w:val="24"/>
          <w:szCs w:val="24"/>
          <w:lang w:eastAsia="ru-RU"/>
        </w:rPr>
        <w:t>2.8. Газ</w:t>
      </w:r>
    </w:p>
    <w:p w14:paraId="34FD2260">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Вопрос по газификации близлежащих СНТ отложен года на три.</w:t>
      </w:r>
    </w:p>
    <w:p w14:paraId="1F8372AF">
      <w:pPr>
        <w:jc w:val="both"/>
        <w:rPr>
          <w:rFonts w:ascii="Times New Roman" w:hAnsi="Times New Roman" w:eastAsia="Times New Roman" w:cs="Times New Roman"/>
          <w:b/>
          <w:color w:val="2B2B2B"/>
          <w:sz w:val="24"/>
          <w:szCs w:val="24"/>
          <w:lang w:eastAsia="ru-RU"/>
        </w:rPr>
      </w:pPr>
      <w:r>
        <w:rPr>
          <w:rFonts w:ascii="Times New Roman" w:hAnsi="Times New Roman" w:eastAsia="Times New Roman" w:cs="Times New Roman"/>
          <w:b/>
          <w:color w:val="2B2B2B"/>
          <w:sz w:val="24"/>
          <w:szCs w:val="24"/>
          <w:lang w:eastAsia="ru-RU"/>
        </w:rPr>
        <w:t>2.9. Долги</w:t>
      </w:r>
    </w:p>
    <w:p w14:paraId="6302493A">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не поступили платежи за членский взнос и платы 2025/2026 от собственников 8 участков полностью (5, 42, 150а, 151, 209, 221, 223, 233) и 1 участка частично (109), суммарный долг 93 375,02 руб.</w:t>
      </w:r>
    </w:p>
    <w:p w14:paraId="3190597C">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не погасили долги по членским, целевым взносам и платам за предыдущие периоды садоводы 4 участков (18, 209, 223, 237) - суммарный долг составляет 125 096,32 рублей, не считая пеней;</w:t>
      </w:r>
    </w:p>
    <w:p w14:paraId="09C5BAE6">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не погасил долг за потребленную электроэнергию до перехода на прямой договор с ПСК садовод 1 участка (151) - долг составляет 2 716,22 руб.;</w:t>
      </w:r>
    </w:p>
    <w:p w14:paraId="019FBCA9">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не погасили долги по пеням, образовавшимся за несвоевременную оплату членских взносов, садоводы 6 участков (18, 62, 109, 179а, 204, 237) - суммарный долг составляет 58 986,71 руб. (без учета пеней, начисляемых должникам при оплате долга и по решению суда);</w:t>
      </w:r>
    </w:p>
    <w:p w14:paraId="0A66BD00">
      <w:pPr>
        <w:jc w:val="both"/>
        <w:rPr>
          <w:rFonts w:ascii="Times New Roman" w:hAnsi="Times New Roman" w:eastAsia="Times New Roman" w:cs="Times New Roman"/>
          <w:b/>
          <w:color w:val="2B2B2B"/>
          <w:sz w:val="24"/>
          <w:szCs w:val="24"/>
          <w:lang w:eastAsia="ru-RU"/>
        </w:rPr>
      </w:pPr>
      <w:r>
        <w:rPr>
          <w:rFonts w:ascii="Times New Roman" w:hAnsi="Times New Roman" w:eastAsia="Times New Roman" w:cs="Times New Roman"/>
          <w:b/>
          <w:color w:val="2B2B2B"/>
          <w:sz w:val="24"/>
          <w:szCs w:val="24"/>
          <w:lang w:eastAsia="ru-RU"/>
        </w:rPr>
        <w:t xml:space="preserve">2.10. Ведение реестра собственников СНТ. </w:t>
      </w:r>
    </w:p>
    <w:p w14:paraId="2E77FFD0">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В соответствии с ФЗ №217 правление СНТ обязано вести реестр собственников СНТ и поддерживать его в актуальном состоянии. Каждый собственник земельного участка, входящего в состав СНТ «Выборжец», обязан в течение 10 календарных дней сообщать в правление изменения в персональных данных, к которым относятся:</w:t>
      </w:r>
    </w:p>
    <w:p w14:paraId="2D9427B7">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 фамилия, имя, отчество (последнее - при наличии) </w:t>
      </w:r>
    </w:p>
    <w:p w14:paraId="27C46B1A">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паспортные данные;</w:t>
      </w:r>
    </w:p>
    <w:p w14:paraId="354D9332">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 телефон и (или) другие контактные данные;</w:t>
      </w:r>
    </w:p>
    <w:p w14:paraId="7C14BB54">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электронная почта;</w:t>
      </w:r>
    </w:p>
    <w:p w14:paraId="4263815F">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адрес места жительства (регистрации);                                                        </w:t>
      </w:r>
    </w:p>
    <w:p w14:paraId="5DE6A28D">
      <w:pPr>
        <w:pStyle w:val="20"/>
        <w:numPr>
          <w:ilvl w:val="0"/>
          <w:numId w:val="2"/>
        </w:num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данные из правоустанавливающих документов на земельный участок, на  строения, расположенные на участке.</w:t>
      </w:r>
    </w:p>
    <w:p w14:paraId="7018C127">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 На данный момент в СНТ по существующим документам 4 земельных участков не имеют собственников (151, 209, 254, 268). Документом, подтверждающим права на недвижимость, является только выписка из ЕГРН. Собственникам (наследникам) необходимо срочно предоставить в правление выписку из ЕГРН с указанным в ней правообладателем земельного участка. </w:t>
      </w:r>
    </w:p>
    <w:p w14:paraId="2F60D963">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По данным, имеющимся в правлении на сегодня, 9 земельных участков (14, 108, 187, 263) имеют в выписке из ЕГРН правообладателем умерших людей. Оформление наследства необходимо осуществлять в установленные законом сроки, и также, сразу после оформления, предоставлять в правление выписку из ЕГРН с указанием нового правообладателя и все необходимые данные на нового собственника.</w:t>
      </w:r>
    </w:p>
    <w:p w14:paraId="1480A834">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Администрация Всеволожска запросила все СНТ о подаче реестра земельных участков без собственников или с давно умершими собственниками. Также обязала готовить реестр «заброшенных» земельных участков, т.е. участков, за которыми 3 года не ухаживают собственники. Дальнейшая судьба земельных участков, попавших в реестры – рассмотрение администрацией вопроса об их изъятии и предоставлении нуждающимся.</w:t>
      </w:r>
    </w:p>
    <w:p w14:paraId="7EFB4B1E">
      <w:pPr>
        <w:jc w:val="both"/>
        <w:rPr>
          <w:rFonts w:ascii="Times New Roman" w:hAnsi="Times New Roman" w:eastAsia="Times New Roman" w:cs="Times New Roman"/>
          <w:b/>
          <w:color w:val="2B2B2B"/>
          <w:sz w:val="24"/>
          <w:szCs w:val="24"/>
          <w:lang w:eastAsia="ru-RU"/>
        </w:rPr>
      </w:pPr>
      <w:r>
        <w:rPr>
          <w:rFonts w:ascii="Times New Roman" w:hAnsi="Times New Roman" w:eastAsia="Times New Roman" w:cs="Times New Roman"/>
          <w:b/>
          <w:color w:val="2B2B2B"/>
          <w:sz w:val="24"/>
          <w:szCs w:val="24"/>
          <w:lang w:eastAsia="ru-RU"/>
        </w:rPr>
        <w:t>2.11. Благодарность</w:t>
      </w:r>
    </w:p>
    <w:p w14:paraId="097DC66C">
      <w:pPr>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xml:space="preserve">Правление выражает огромную благодарность всем садоводам, принимающим участие в общественной жизни СНТ, в благоустройстве нашей территории, осуществляющим посильный вклад в улучшение жизни в нашем садоводстве. Благодарим за помощь по ремонтным работам со шлагбаумами. Благодарим за помощь по расчистке упавших деревьев. </w:t>
      </w:r>
    </w:p>
    <w:p w14:paraId="0F5FF8DA">
      <w:pPr>
        <w:jc w:val="both"/>
        <w:rPr>
          <w:rFonts w:ascii="Times New Roman" w:hAnsi="Times New Roman" w:eastAsia="Times New Roman" w:cs="Times New Roman"/>
          <w:b/>
          <w:bCs/>
          <w:color w:val="000000"/>
          <w:sz w:val="24"/>
          <w:szCs w:val="24"/>
          <w:lang w:eastAsia="ru-RU"/>
        </w:rPr>
      </w:pPr>
      <w:r>
        <w:rPr>
          <w:rFonts w:ascii="Times New Roman" w:hAnsi="Times New Roman" w:eastAsia="Times New Roman" w:cs="Times New Roman"/>
          <w:color w:val="000000"/>
          <w:sz w:val="24"/>
          <w:szCs w:val="24"/>
          <w:lang w:eastAsia="ru-RU"/>
        </w:rPr>
        <w:t xml:space="preserve"> </w:t>
      </w:r>
      <w:r>
        <w:rPr>
          <w:rFonts w:ascii="Times New Roman" w:hAnsi="Times New Roman" w:eastAsia="Times New Roman" w:cs="Times New Roman"/>
          <w:b/>
          <w:bCs/>
          <w:color w:val="000000"/>
          <w:sz w:val="24"/>
          <w:szCs w:val="24"/>
          <w:lang w:eastAsia="ru-RU"/>
        </w:rPr>
        <w:t>3. Вывод</w:t>
      </w:r>
    </w:p>
    <w:p w14:paraId="7D168DE5">
      <w:pPr>
        <w:jc w:val="both"/>
        <w:rPr>
          <w:rFonts w:ascii="Times New Roman" w:hAnsi="Times New Roman" w:eastAsia="Times New Roman" w:cs="Times New Roman"/>
          <w:color w:val="333333"/>
          <w:sz w:val="24"/>
          <w:szCs w:val="24"/>
          <w:lang w:eastAsia="ru-RU"/>
        </w:rPr>
      </w:pPr>
      <w:r>
        <w:rPr>
          <w:rFonts w:ascii="Times New Roman" w:hAnsi="Times New Roman" w:eastAsia="Times New Roman" w:cs="Times New Roman"/>
          <w:bCs/>
          <w:color w:val="000000"/>
          <w:sz w:val="24"/>
          <w:szCs w:val="24"/>
          <w:lang w:eastAsia="ru-RU"/>
        </w:rPr>
        <w:t>Правление во главе с председателем Горбачевой Е.П. просит признать работу за отчетный период 01.07.25 – 30.06.26 удовлетворительной.</w:t>
      </w:r>
    </w:p>
    <w:p w14:paraId="3AFDB128">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 </w:t>
      </w:r>
    </w:p>
    <w:p w14:paraId="6A0E07F6">
      <w:pPr>
        <w:spacing w:before="180" w:after="180" w:line="276" w:lineRule="auto"/>
        <w:jc w:val="both"/>
        <w:rPr>
          <w:rFonts w:ascii="Times New Roman" w:hAnsi="Times New Roman" w:eastAsia="Times New Roman" w:cs="Times New Roman"/>
          <w:color w:val="2B2B2B"/>
          <w:sz w:val="24"/>
          <w:szCs w:val="24"/>
          <w:lang w:eastAsia="ru-RU"/>
        </w:rPr>
      </w:pPr>
      <w:r>
        <w:rPr>
          <w:rFonts w:ascii="Times New Roman" w:hAnsi="Times New Roman" w:eastAsia="Times New Roman" w:cs="Times New Roman"/>
          <w:color w:val="2B2B2B"/>
          <w:sz w:val="24"/>
          <w:szCs w:val="24"/>
          <w:lang w:eastAsia="ru-RU"/>
        </w:rPr>
        <w:t>Председатель СНТ «Выборжец»                                              Горбачева Е.П.</w:t>
      </w:r>
    </w:p>
    <w:sectPr>
      <w:footerReference r:id="rId5" w:type="default"/>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Arial">
    <w:panose1 w:val="020B0604020202020204"/>
    <w:charset w:val="CC"/>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02565670"/>
      <w:docPartObj>
        <w:docPartGallery w:val="AutoText"/>
      </w:docPartObj>
    </w:sdtPr>
    <w:sdtContent>
      <w:p w14:paraId="6B41531F">
        <w:pPr>
          <w:pStyle w:val="10"/>
          <w:jc w:val="right"/>
        </w:pPr>
        <w:r>
          <w:fldChar w:fldCharType="begin"/>
        </w:r>
        <w:r>
          <w:instrText xml:space="preserve">PAGE   \* MERGEFORMAT</w:instrText>
        </w:r>
        <w:r>
          <w:fldChar w:fldCharType="separate"/>
        </w:r>
        <w:r>
          <w:t>1</w:t>
        </w:r>
        <w:r>
          <w:fldChar w:fldCharType="end"/>
        </w:r>
      </w:p>
    </w:sdtContent>
  </w:sdt>
  <w:p w14:paraId="72487AAB">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EB73413"/>
    <w:multiLevelType w:val="multilevel"/>
    <w:tmpl w:val="0EB7341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5FA46AE2"/>
    <w:multiLevelType w:val="multilevel"/>
    <w:tmpl w:val="5FA46AE2"/>
    <w:lvl w:ilvl="0" w:tentative="0">
      <w:start w:val="1"/>
      <w:numFmt w:val="bullet"/>
      <w:lvlText w:val=""/>
      <w:lvlJc w:val="left"/>
      <w:pPr>
        <w:ind w:left="780" w:hanging="360"/>
      </w:pPr>
      <w:rPr>
        <w:rFonts w:hint="default" w:ascii="Symbol" w:hAnsi="Symbol"/>
      </w:rPr>
    </w:lvl>
    <w:lvl w:ilvl="1" w:tentative="0">
      <w:start w:val="1"/>
      <w:numFmt w:val="bullet"/>
      <w:lvlText w:val="o"/>
      <w:lvlJc w:val="left"/>
      <w:pPr>
        <w:ind w:left="1500" w:hanging="360"/>
      </w:pPr>
      <w:rPr>
        <w:rFonts w:hint="default" w:ascii="Courier New" w:hAnsi="Courier New" w:cs="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cs="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cs="Courier New"/>
      </w:rPr>
    </w:lvl>
    <w:lvl w:ilvl="8" w:tentative="0">
      <w:start w:val="1"/>
      <w:numFmt w:val="bullet"/>
      <w:lvlText w:val=""/>
      <w:lvlJc w:val="left"/>
      <w:pPr>
        <w:ind w:left="65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6C9"/>
    <w:rsid w:val="00005447"/>
    <w:rsid w:val="00011BE8"/>
    <w:rsid w:val="00013C50"/>
    <w:rsid w:val="00013ECE"/>
    <w:rsid w:val="00023A88"/>
    <w:rsid w:val="00026023"/>
    <w:rsid w:val="00033F52"/>
    <w:rsid w:val="00035226"/>
    <w:rsid w:val="00035642"/>
    <w:rsid w:val="00037D3C"/>
    <w:rsid w:val="000427F3"/>
    <w:rsid w:val="000452C6"/>
    <w:rsid w:val="00051DAE"/>
    <w:rsid w:val="000545A3"/>
    <w:rsid w:val="00056404"/>
    <w:rsid w:val="000574F4"/>
    <w:rsid w:val="000606C4"/>
    <w:rsid w:val="000641E8"/>
    <w:rsid w:val="00064538"/>
    <w:rsid w:val="000670FE"/>
    <w:rsid w:val="000708AE"/>
    <w:rsid w:val="000814A1"/>
    <w:rsid w:val="000822D2"/>
    <w:rsid w:val="000910E0"/>
    <w:rsid w:val="00096329"/>
    <w:rsid w:val="00096CD8"/>
    <w:rsid w:val="000A2611"/>
    <w:rsid w:val="000A38A6"/>
    <w:rsid w:val="000B5B02"/>
    <w:rsid w:val="000C08D5"/>
    <w:rsid w:val="000C4B87"/>
    <w:rsid w:val="000C7EA6"/>
    <w:rsid w:val="000D21E3"/>
    <w:rsid w:val="000D292B"/>
    <w:rsid w:val="000D3217"/>
    <w:rsid w:val="000D367A"/>
    <w:rsid w:val="000E3314"/>
    <w:rsid w:val="000E4D35"/>
    <w:rsid w:val="000E7E74"/>
    <w:rsid w:val="000F35CB"/>
    <w:rsid w:val="000F3AD6"/>
    <w:rsid w:val="000F3D46"/>
    <w:rsid w:val="001007BE"/>
    <w:rsid w:val="001043E1"/>
    <w:rsid w:val="00106875"/>
    <w:rsid w:val="00106EA1"/>
    <w:rsid w:val="00112A8C"/>
    <w:rsid w:val="001137BF"/>
    <w:rsid w:val="0011430B"/>
    <w:rsid w:val="0012101A"/>
    <w:rsid w:val="001221B4"/>
    <w:rsid w:val="00136043"/>
    <w:rsid w:val="001402D5"/>
    <w:rsid w:val="001413F7"/>
    <w:rsid w:val="0014479F"/>
    <w:rsid w:val="00157EA7"/>
    <w:rsid w:val="00162370"/>
    <w:rsid w:val="00170326"/>
    <w:rsid w:val="00171733"/>
    <w:rsid w:val="0017184B"/>
    <w:rsid w:val="0018407E"/>
    <w:rsid w:val="00185AC0"/>
    <w:rsid w:val="00191AA0"/>
    <w:rsid w:val="0019330B"/>
    <w:rsid w:val="001A02BB"/>
    <w:rsid w:val="001A3C35"/>
    <w:rsid w:val="001B62BC"/>
    <w:rsid w:val="001B69BA"/>
    <w:rsid w:val="001C0871"/>
    <w:rsid w:val="001C0DA6"/>
    <w:rsid w:val="001C3B3F"/>
    <w:rsid w:val="001C4EB6"/>
    <w:rsid w:val="001C7087"/>
    <w:rsid w:val="001D19BE"/>
    <w:rsid w:val="001D3018"/>
    <w:rsid w:val="001D7245"/>
    <w:rsid w:val="001E1A22"/>
    <w:rsid w:val="001E7C2B"/>
    <w:rsid w:val="001F1895"/>
    <w:rsid w:val="001F58C6"/>
    <w:rsid w:val="001F6AEB"/>
    <w:rsid w:val="002005C1"/>
    <w:rsid w:val="00210E83"/>
    <w:rsid w:val="00216688"/>
    <w:rsid w:val="00216ED1"/>
    <w:rsid w:val="00217E9D"/>
    <w:rsid w:val="00220E43"/>
    <w:rsid w:val="00221AFB"/>
    <w:rsid w:val="00227268"/>
    <w:rsid w:val="0023221D"/>
    <w:rsid w:val="002335DD"/>
    <w:rsid w:val="0023362E"/>
    <w:rsid w:val="00235E95"/>
    <w:rsid w:val="00250AE4"/>
    <w:rsid w:val="00253E45"/>
    <w:rsid w:val="00255438"/>
    <w:rsid w:val="00257B4F"/>
    <w:rsid w:val="00260F73"/>
    <w:rsid w:val="002647CC"/>
    <w:rsid w:val="00270F5C"/>
    <w:rsid w:val="002727F2"/>
    <w:rsid w:val="0028205D"/>
    <w:rsid w:val="002856AA"/>
    <w:rsid w:val="002917B5"/>
    <w:rsid w:val="00291B23"/>
    <w:rsid w:val="0029450F"/>
    <w:rsid w:val="002A2DBB"/>
    <w:rsid w:val="002A40D8"/>
    <w:rsid w:val="002A4973"/>
    <w:rsid w:val="002A6C2F"/>
    <w:rsid w:val="002B07BA"/>
    <w:rsid w:val="002B1AF5"/>
    <w:rsid w:val="002C229A"/>
    <w:rsid w:val="002C2397"/>
    <w:rsid w:val="002D0283"/>
    <w:rsid w:val="002D0C0D"/>
    <w:rsid w:val="002D1906"/>
    <w:rsid w:val="002D3248"/>
    <w:rsid w:val="002D7BD0"/>
    <w:rsid w:val="002E131C"/>
    <w:rsid w:val="002E4743"/>
    <w:rsid w:val="002E7286"/>
    <w:rsid w:val="002E7C16"/>
    <w:rsid w:val="002F1BD9"/>
    <w:rsid w:val="002F3A1C"/>
    <w:rsid w:val="002F5422"/>
    <w:rsid w:val="00307580"/>
    <w:rsid w:val="003077E1"/>
    <w:rsid w:val="00307C10"/>
    <w:rsid w:val="00311D48"/>
    <w:rsid w:val="00314286"/>
    <w:rsid w:val="00314DEF"/>
    <w:rsid w:val="00316402"/>
    <w:rsid w:val="00320813"/>
    <w:rsid w:val="00322811"/>
    <w:rsid w:val="00327080"/>
    <w:rsid w:val="00337E12"/>
    <w:rsid w:val="003421F0"/>
    <w:rsid w:val="00344EEF"/>
    <w:rsid w:val="0035209C"/>
    <w:rsid w:val="003624BC"/>
    <w:rsid w:val="003655E5"/>
    <w:rsid w:val="00371F76"/>
    <w:rsid w:val="00372205"/>
    <w:rsid w:val="00374538"/>
    <w:rsid w:val="00375ACB"/>
    <w:rsid w:val="00377BBA"/>
    <w:rsid w:val="00381579"/>
    <w:rsid w:val="00382A26"/>
    <w:rsid w:val="00386993"/>
    <w:rsid w:val="00391C33"/>
    <w:rsid w:val="003942BB"/>
    <w:rsid w:val="003A25A6"/>
    <w:rsid w:val="003A4D51"/>
    <w:rsid w:val="003A50D5"/>
    <w:rsid w:val="003B053C"/>
    <w:rsid w:val="003B50BC"/>
    <w:rsid w:val="003C1202"/>
    <w:rsid w:val="003C714A"/>
    <w:rsid w:val="003C7A1F"/>
    <w:rsid w:val="003C7EBE"/>
    <w:rsid w:val="003D51B3"/>
    <w:rsid w:val="003E1B3E"/>
    <w:rsid w:val="003E4658"/>
    <w:rsid w:val="003E729C"/>
    <w:rsid w:val="003F1559"/>
    <w:rsid w:val="003F596F"/>
    <w:rsid w:val="004003D0"/>
    <w:rsid w:val="00401A4B"/>
    <w:rsid w:val="00401D82"/>
    <w:rsid w:val="00404DD1"/>
    <w:rsid w:val="00405A35"/>
    <w:rsid w:val="00405A6B"/>
    <w:rsid w:val="00412580"/>
    <w:rsid w:val="00413B9A"/>
    <w:rsid w:val="00414516"/>
    <w:rsid w:val="00414E9C"/>
    <w:rsid w:val="0043305C"/>
    <w:rsid w:val="004346BB"/>
    <w:rsid w:val="00434CEC"/>
    <w:rsid w:val="00436323"/>
    <w:rsid w:val="00436E47"/>
    <w:rsid w:val="00437DAF"/>
    <w:rsid w:val="0044107D"/>
    <w:rsid w:val="00444C2C"/>
    <w:rsid w:val="00445121"/>
    <w:rsid w:val="0045164C"/>
    <w:rsid w:val="00452724"/>
    <w:rsid w:val="004600FA"/>
    <w:rsid w:val="00463108"/>
    <w:rsid w:val="0046460F"/>
    <w:rsid w:val="00471273"/>
    <w:rsid w:val="00474E06"/>
    <w:rsid w:val="00477C1F"/>
    <w:rsid w:val="00482227"/>
    <w:rsid w:val="004848FF"/>
    <w:rsid w:val="00490AA3"/>
    <w:rsid w:val="00491F0E"/>
    <w:rsid w:val="00493480"/>
    <w:rsid w:val="00494510"/>
    <w:rsid w:val="0049619E"/>
    <w:rsid w:val="004A04B8"/>
    <w:rsid w:val="004A2D7C"/>
    <w:rsid w:val="004A3ADA"/>
    <w:rsid w:val="004A43E1"/>
    <w:rsid w:val="004A47BF"/>
    <w:rsid w:val="004A6BD3"/>
    <w:rsid w:val="004B04F0"/>
    <w:rsid w:val="004B11B2"/>
    <w:rsid w:val="004C298C"/>
    <w:rsid w:val="004C6AF2"/>
    <w:rsid w:val="004D085E"/>
    <w:rsid w:val="004D7221"/>
    <w:rsid w:val="004E0492"/>
    <w:rsid w:val="004E0BF8"/>
    <w:rsid w:val="004E12A4"/>
    <w:rsid w:val="004E3807"/>
    <w:rsid w:val="004E434B"/>
    <w:rsid w:val="004E46EA"/>
    <w:rsid w:val="004F0740"/>
    <w:rsid w:val="00500815"/>
    <w:rsid w:val="00504895"/>
    <w:rsid w:val="00505005"/>
    <w:rsid w:val="00506EEA"/>
    <w:rsid w:val="00523157"/>
    <w:rsid w:val="0053377F"/>
    <w:rsid w:val="00542C88"/>
    <w:rsid w:val="005467CA"/>
    <w:rsid w:val="00547187"/>
    <w:rsid w:val="00550EA5"/>
    <w:rsid w:val="00555E28"/>
    <w:rsid w:val="0056398C"/>
    <w:rsid w:val="00563D5F"/>
    <w:rsid w:val="005647D1"/>
    <w:rsid w:val="005761F4"/>
    <w:rsid w:val="00582222"/>
    <w:rsid w:val="00586511"/>
    <w:rsid w:val="00587FB9"/>
    <w:rsid w:val="005918B4"/>
    <w:rsid w:val="00591B4A"/>
    <w:rsid w:val="00593CA7"/>
    <w:rsid w:val="005940B1"/>
    <w:rsid w:val="005949C9"/>
    <w:rsid w:val="005962BC"/>
    <w:rsid w:val="005A34A5"/>
    <w:rsid w:val="005A3D78"/>
    <w:rsid w:val="005A4278"/>
    <w:rsid w:val="005B053C"/>
    <w:rsid w:val="005B0F48"/>
    <w:rsid w:val="005C2D95"/>
    <w:rsid w:val="005C31F0"/>
    <w:rsid w:val="005C3352"/>
    <w:rsid w:val="005C4C65"/>
    <w:rsid w:val="005D4F6C"/>
    <w:rsid w:val="005E25AD"/>
    <w:rsid w:val="005E2720"/>
    <w:rsid w:val="005E2994"/>
    <w:rsid w:val="005E3F3E"/>
    <w:rsid w:val="005F5E4F"/>
    <w:rsid w:val="005F66FD"/>
    <w:rsid w:val="005F67E8"/>
    <w:rsid w:val="00600DF9"/>
    <w:rsid w:val="00612EA8"/>
    <w:rsid w:val="006172FA"/>
    <w:rsid w:val="00620882"/>
    <w:rsid w:val="00630514"/>
    <w:rsid w:val="00633588"/>
    <w:rsid w:val="00636631"/>
    <w:rsid w:val="00641B05"/>
    <w:rsid w:val="0064342B"/>
    <w:rsid w:val="0064477E"/>
    <w:rsid w:val="006450DA"/>
    <w:rsid w:val="00645985"/>
    <w:rsid w:val="00654512"/>
    <w:rsid w:val="00655AA1"/>
    <w:rsid w:val="0065715C"/>
    <w:rsid w:val="006571D3"/>
    <w:rsid w:val="00666BBD"/>
    <w:rsid w:val="00671870"/>
    <w:rsid w:val="006719A4"/>
    <w:rsid w:val="0067554A"/>
    <w:rsid w:val="006811C9"/>
    <w:rsid w:val="006862C6"/>
    <w:rsid w:val="00690284"/>
    <w:rsid w:val="00692F5B"/>
    <w:rsid w:val="006970E1"/>
    <w:rsid w:val="006A0D75"/>
    <w:rsid w:val="006A436E"/>
    <w:rsid w:val="006A7FA7"/>
    <w:rsid w:val="006C4835"/>
    <w:rsid w:val="006C4FFA"/>
    <w:rsid w:val="006C69F1"/>
    <w:rsid w:val="006C73F8"/>
    <w:rsid w:val="006D1B73"/>
    <w:rsid w:val="006D1F08"/>
    <w:rsid w:val="006D319B"/>
    <w:rsid w:val="006D56A5"/>
    <w:rsid w:val="006D7A6C"/>
    <w:rsid w:val="006E1A87"/>
    <w:rsid w:val="006F353F"/>
    <w:rsid w:val="00701929"/>
    <w:rsid w:val="00702375"/>
    <w:rsid w:val="00702526"/>
    <w:rsid w:val="007046BB"/>
    <w:rsid w:val="00706248"/>
    <w:rsid w:val="00710C24"/>
    <w:rsid w:val="00715E93"/>
    <w:rsid w:val="00716194"/>
    <w:rsid w:val="00716678"/>
    <w:rsid w:val="00732970"/>
    <w:rsid w:val="0073486F"/>
    <w:rsid w:val="00743EC3"/>
    <w:rsid w:val="00744093"/>
    <w:rsid w:val="00747DFC"/>
    <w:rsid w:val="00752305"/>
    <w:rsid w:val="00757D40"/>
    <w:rsid w:val="007657E7"/>
    <w:rsid w:val="007677B2"/>
    <w:rsid w:val="00770957"/>
    <w:rsid w:val="00770F94"/>
    <w:rsid w:val="007733F8"/>
    <w:rsid w:val="0077523F"/>
    <w:rsid w:val="00776CC1"/>
    <w:rsid w:val="007809FE"/>
    <w:rsid w:val="0078183C"/>
    <w:rsid w:val="0078405C"/>
    <w:rsid w:val="0078546B"/>
    <w:rsid w:val="007909E8"/>
    <w:rsid w:val="00791FE3"/>
    <w:rsid w:val="00793DB3"/>
    <w:rsid w:val="007A174B"/>
    <w:rsid w:val="007A2548"/>
    <w:rsid w:val="007A286A"/>
    <w:rsid w:val="007B58D0"/>
    <w:rsid w:val="007B63AC"/>
    <w:rsid w:val="007B7926"/>
    <w:rsid w:val="007D039C"/>
    <w:rsid w:val="007D1481"/>
    <w:rsid w:val="007D252D"/>
    <w:rsid w:val="007D3F50"/>
    <w:rsid w:val="007D50CC"/>
    <w:rsid w:val="007D52C2"/>
    <w:rsid w:val="007E2B6E"/>
    <w:rsid w:val="007F26C9"/>
    <w:rsid w:val="007F3B74"/>
    <w:rsid w:val="007F6E5C"/>
    <w:rsid w:val="007F7BC5"/>
    <w:rsid w:val="00800FB7"/>
    <w:rsid w:val="0080121A"/>
    <w:rsid w:val="00812252"/>
    <w:rsid w:val="00817D11"/>
    <w:rsid w:val="00820439"/>
    <w:rsid w:val="00821B1D"/>
    <w:rsid w:val="00823242"/>
    <w:rsid w:val="00836116"/>
    <w:rsid w:val="00844E2C"/>
    <w:rsid w:val="008455C3"/>
    <w:rsid w:val="00846956"/>
    <w:rsid w:val="00851AFC"/>
    <w:rsid w:val="008561D3"/>
    <w:rsid w:val="00860F04"/>
    <w:rsid w:val="00862618"/>
    <w:rsid w:val="0086642C"/>
    <w:rsid w:val="00867825"/>
    <w:rsid w:val="00870F0C"/>
    <w:rsid w:val="00887F39"/>
    <w:rsid w:val="00891901"/>
    <w:rsid w:val="00892AD6"/>
    <w:rsid w:val="00896D32"/>
    <w:rsid w:val="008A0656"/>
    <w:rsid w:val="008A0ACA"/>
    <w:rsid w:val="008A128F"/>
    <w:rsid w:val="008A231F"/>
    <w:rsid w:val="008A44C8"/>
    <w:rsid w:val="008B23C5"/>
    <w:rsid w:val="008B2408"/>
    <w:rsid w:val="008B2EB1"/>
    <w:rsid w:val="008B4BA1"/>
    <w:rsid w:val="008B6B58"/>
    <w:rsid w:val="008C0722"/>
    <w:rsid w:val="008C5289"/>
    <w:rsid w:val="008C6E9E"/>
    <w:rsid w:val="008D09F9"/>
    <w:rsid w:val="008D2406"/>
    <w:rsid w:val="008D5F9C"/>
    <w:rsid w:val="008E0DEF"/>
    <w:rsid w:val="008E187D"/>
    <w:rsid w:val="008F0A20"/>
    <w:rsid w:val="008F7A38"/>
    <w:rsid w:val="009035E1"/>
    <w:rsid w:val="00906FA0"/>
    <w:rsid w:val="009108DA"/>
    <w:rsid w:val="00912622"/>
    <w:rsid w:val="009161C8"/>
    <w:rsid w:val="00922C9C"/>
    <w:rsid w:val="00930196"/>
    <w:rsid w:val="00933233"/>
    <w:rsid w:val="00940B15"/>
    <w:rsid w:val="009410EC"/>
    <w:rsid w:val="009425E4"/>
    <w:rsid w:val="009427D1"/>
    <w:rsid w:val="0094320E"/>
    <w:rsid w:val="00944A58"/>
    <w:rsid w:val="00961097"/>
    <w:rsid w:val="00963B26"/>
    <w:rsid w:val="00965323"/>
    <w:rsid w:val="00965AAA"/>
    <w:rsid w:val="009660A3"/>
    <w:rsid w:val="00974FC1"/>
    <w:rsid w:val="00986892"/>
    <w:rsid w:val="009902F9"/>
    <w:rsid w:val="009A48F2"/>
    <w:rsid w:val="009A677E"/>
    <w:rsid w:val="009A6EF5"/>
    <w:rsid w:val="009C0E1E"/>
    <w:rsid w:val="009C6EAC"/>
    <w:rsid w:val="009D3541"/>
    <w:rsid w:val="009D59A2"/>
    <w:rsid w:val="009D5C71"/>
    <w:rsid w:val="009D7011"/>
    <w:rsid w:val="009D7A69"/>
    <w:rsid w:val="009E3854"/>
    <w:rsid w:val="009E3A93"/>
    <w:rsid w:val="009E66FC"/>
    <w:rsid w:val="009F0D9E"/>
    <w:rsid w:val="009F2904"/>
    <w:rsid w:val="009F434A"/>
    <w:rsid w:val="009F4841"/>
    <w:rsid w:val="00A01D39"/>
    <w:rsid w:val="00A05917"/>
    <w:rsid w:val="00A076C1"/>
    <w:rsid w:val="00A12E2A"/>
    <w:rsid w:val="00A1753E"/>
    <w:rsid w:val="00A17C4C"/>
    <w:rsid w:val="00A2118D"/>
    <w:rsid w:val="00A3149F"/>
    <w:rsid w:val="00A32B03"/>
    <w:rsid w:val="00A33D63"/>
    <w:rsid w:val="00A34CFD"/>
    <w:rsid w:val="00A355D4"/>
    <w:rsid w:val="00A45B51"/>
    <w:rsid w:val="00A51643"/>
    <w:rsid w:val="00A51BAB"/>
    <w:rsid w:val="00A54E78"/>
    <w:rsid w:val="00A56044"/>
    <w:rsid w:val="00A668FD"/>
    <w:rsid w:val="00A70C1B"/>
    <w:rsid w:val="00A71C47"/>
    <w:rsid w:val="00A71D98"/>
    <w:rsid w:val="00A72070"/>
    <w:rsid w:val="00A733CE"/>
    <w:rsid w:val="00A77851"/>
    <w:rsid w:val="00A81E8E"/>
    <w:rsid w:val="00A82598"/>
    <w:rsid w:val="00A8568B"/>
    <w:rsid w:val="00A85C92"/>
    <w:rsid w:val="00A87858"/>
    <w:rsid w:val="00A91613"/>
    <w:rsid w:val="00A9377F"/>
    <w:rsid w:val="00A941E6"/>
    <w:rsid w:val="00A96218"/>
    <w:rsid w:val="00AA0878"/>
    <w:rsid w:val="00AA6296"/>
    <w:rsid w:val="00AA6549"/>
    <w:rsid w:val="00AB7D05"/>
    <w:rsid w:val="00AC283D"/>
    <w:rsid w:val="00AC3122"/>
    <w:rsid w:val="00AC499B"/>
    <w:rsid w:val="00AC689F"/>
    <w:rsid w:val="00AC7676"/>
    <w:rsid w:val="00AD3FE9"/>
    <w:rsid w:val="00AD58EC"/>
    <w:rsid w:val="00AD69C2"/>
    <w:rsid w:val="00AE15C8"/>
    <w:rsid w:val="00AE3153"/>
    <w:rsid w:val="00AE6142"/>
    <w:rsid w:val="00AF7108"/>
    <w:rsid w:val="00B05047"/>
    <w:rsid w:val="00B05FE3"/>
    <w:rsid w:val="00B10DE2"/>
    <w:rsid w:val="00B12EE3"/>
    <w:rsid w:val="00B1386D"/>
    <w:rsid w:val="00B14F14"/>
    <w:rsid w:val="00B15D49"/>
    <w:rsid w:val="00B17900"/>
    <w:rsid w:val="00B17922"/>
    <w:rsid w:val="00B21421"/>
    <w:rsid w:val="00B248B0"/>
    <w:rsid w:val="00B27C07"/>
    <w:rsid w:val="00B323D5"/>
    <w:rsid w:val="00B34734"/>
    <w:rsid w:val="00B34BB8"/>
    <w:rsid w:val="00B37C5B"/>
    <w:rsid w:val="00B5171A"/>
    <w:rsid w:val="00B528D9"/>
    <w:rsid w:val="00B53F08"/>
    <w:rsid w:val="00B7082E"/>
    <w:rsid w:val="00B81398"/>
    <w:rsid w:val="00B81BAA"/>
    <w:rsid w:val="00B81F31"/>
    <w:rsid w:val="00B877BD"/>
    <w:rsid w:val="00B9765C"/>
    <w:rsid w:val="00BA407F"/>
    <w:rsid w:val="00BA42A1"/>
    <w:rsid w:val="00BA786B"/>
    <w:rsid w:val="00BB2CB2"/>
    <w:rsid w:val="00BB33FE"/>
    <w:rsid w:val="00BB3806"/>
    <w:rsid w:val="00BB55EE"/>
    <w:rsid w:val="00BC2D0B"/>
    <w:rsid w:val="00BC3464"/>
    <w:rsid w:val="00BD2EF1"/>
    <w:rsid w:val="00BF0B92"/>
    <w:rsid w:val="00BF21FD"/>
    <w:rsid w:val="00BF66D1"/>
    <w:rsid w:val="00C017B5"/>
    <w:rsid w:val="00C0248F"/>
    <w:rsid w:val="00C05023"/>
    <w:rsid w:val="00C0569F"/>
    <w:rsid w:val="00C13390"/>
    <w:rsid w:val="00C20A85"/>
    <w:rsid w:val="00C34565"/>
    <w:rsid w:val="00C34735"/>
    <w:rsid w:val="00C37725"/>
    <w:rsid w:val="00C42AB7"/>
    <w:rsid w:val="00C54A3B"/>
    <w:rsid w:val="00C55438"/>
    <w:rsid w:val="00C627BA"/>
    <w:rsid w:val="00C65B20"/>
    <w:rsid w:val="00C67B5F"/>
    <w:rsid w:val="00C73A6F"/>
    <w:rsid w:val="00C7567C"/>
    <w:rsid w:val="00C77156"/>
    <w:rsid w:val="00C80D4F"/>
    <w:rsid w:val="00C9111F"/>
    <w:rsid w:val="00C9175F"/>
    <w:rsid w:val="00C94924"/>
    <w:rsid w:val="00C96BC8"/>
    <w:rsid w:val="00C97F3D"/>
    <w:rsid w:val="00CA0EEC"/>
    <w:rsid w:val="00CA3483"/>
    <w:rsid w:val="00CA36A1"/>
    <w:rsid w:val="00CA42F7"/>
    <w:rsid w:val="00CA4444"/>
    <w:rsid w:val="00CB321A"/>
    <w:rsid w:val="00CC0819"/>
    <w:rsid w:val="00CC50F7"/>
    <w:rsid w:val="00CC6972"/>
    <w:rsid w:val="00CE117C"/>
    <w:rsid w:val="00CE1BF8"/>
    <w:rsid w:val="00CE4938"/>
    <w:rsid w:val="00CE5445"/>
    <w:rsid w:val="00CE5A02"/>
    <w:rsid w:val="00CE6DD4"/>
    <w:rsid w:val="00CF53C4"/>
    <w:rsid w:val="00D0338A"/>
    <w:rsid w:val="00D1277C"/>
    <w:rsid w:val="00D15A90"/>
    <w:rsid w:val="00D16110"/>
    <w:rsid w:val="00D20082"/>
    <w:rsid w:val="00D21282"/>
    <w:rsid w:val="00D23070"/>
    <w:rsid w:val="00D2483A"/>
    <w:rsid w:val="00D279E6"/>
    <w:rsid w:val="00D30ACE"/>
    <w:rsid w:val="00D41A3D"/>
    <w:rsid w:val="00D42E45"/>
    <w:rsid w:val="00D550BD"/>
    <w:rsid w:val="00D56A0E"/>
    <w:rsid w:val="00D641E4"/>
    <w:rsid w:val="00D73392"/>
    <w:rsid w:val="00D73D61"/>
    <w:rsid w:val="00D742FA"/>
    <w:rsid w:val="00D749BB"/>
    <w:rsid w:val="00D74C41"/>
    <w:rsid w:val="00D75121"/>
    <w:rsid w:val="00D7676C"/>
    <w:rsid w:val="00D77E63"/>
    <w:rsid w:val="00D806F3"/>
    <w:rsid w:val="00D84292"/>
    <w:rsid w:val="00D874FB"/>
    <w:rsid w:val="00D87B50"/>
    <w:rsid w:val="00D90966"/>
    <w:rsid w:val="00DA358B"/>
    <w:rsid w:val="00DA4B34"/>
    <w:rsid w:val="00DA5667"/>
    <w:rsid w:val="00DB1E52"/>
    <w:rsid w:val="00DB2848"/>
    <w:rsid w:val="00DB34F0"/>
    <w:rsid w:val="00DB44F9"/>
    <w:rsid w:val="00DB574E"/>
    <w:rsid w:val="00DB6515"/>
    <w:rsid w:val="00DC288B"/>
    <w:rsid w:val="00DC360C"/>
    <w:rsid w:val="00DC3DE9"/>
    <w:rsid w:val="00DD1D6F"/>
    <w:rsid w:val="00DD21E9"/>
    <w:rsid w:val="00DD524F"/>
    <w:rsid w:val="00DE18E9"/>
    <w:rsid w:val="00DE2113"/>
    <w:rsid w:val="00DE3EBD"/>
    <w:rsid w:val="00DF02C3"/>
    <w:rsid w:val="00DF18C7"/>
    <w:rsid w:val="00DF26C2"/>
    <w:rsid w:val="00DF5EC8"/>
    <w:rsid w:val="00DF6E32"/>
    <w:rsid w:val="00E001C1"/>
    <w:rsid w:val="00E02DDD"/>
    <w:rsid w:val="00E03C06"/>
    <w:rsid w:val="00E04BC3"/>
    <w:rsid w:val="00E0710A"/>
    <w:rsid w:val="00E137A2"/>
    <w:rsid w:val="00E242D8"/>
    <w:rsid w:val="00E24477"/>
    <w:rsid w:val="00E2549C"/>
    <w:rsid w:val="00E340A3"/>
    <w:rsid w:val="00E34E84"/>
    <w:rsid w:val="00E37331"/>
    <w:rsid w:val="00E4003C"/>
    <w:rsid w:val="00E419B3"/>
    <w:rsid w:val="00E41A0E"/>
    <w:rsid w:val="00E42FFF"/>
    <w:rsid w:val="00E43EE1"/>
    <w:rsid w:val="00E442D7"/>
    <w:rsid w:val="00E50F7C"/>
    <w:rsid w:val="00E5235E"/>
    <w:rsid w:val="00E55790"/>
    <w:rsid w:val="00E66B7D"/>
    <w:rsid w:val="00E72D97"/>
    <w:rsid w:val="00E74413"/>
    <w:rsid w:val="00E812CB"/>
    <w:rsid w:val="00E8133F"/>
    <w:rsid w:val="00E841AD"/>
    <w:rsid w:val="00E905DB"/>
    <w:rsid w:val="00E906D1"/>
    <w:rsid w:val="00E92BFD"/>
    <w:rsid w:val="00E94541"/>
    <w:rsid w:val="00EA3FFE"/>
    <w:rsid w:val="00EA4E9E"/>
    <w:rsid w:val="00EB0D51"/>
    <w:rsid w:val="00EB3846"/>
    <w:rsid w:val="00EC675B"/>
    <w:rsid w:val="00EC6E3F"/>
    <w:rsid w:val="00ED5536"/>
    <w:rsid w:val="00EE5E82"/>
    <w:rsid w:val="00EE5E98"/>
    <w:rsid w:val="00EF10A1"/>
    <w:rsid w:val="00EF5788"/>
    <w:rsid w:val="00F0231C"/>
    <w:rsid w:val="00F0468E"/>
    <w:rsid w:val="00F14DD1"/>
    <w:rsid w:val="00F1684C"/>
    <w:rsid w:val="00F207B9"/>
    <w:rsid w:val="00F26297"/>
    <w:rsid w:val="00F3047A"/>
    <w:rsid w:val="00F3577D"/>
    <w:rsid w:val="00F53595"/>
    <w:rsid w:val="00F54160"/>
    <w:rsid w:val="00F56CF5"/>
    <w:rsid w:val="00F57DF5"/>
    <w:rsid w:val="00F717FA"/>
    <w:rsid w:val="00F755C9"/>
    <w:rsid w:val="00F76201"/>
    <w:rsid w:val="00F777C6"/>
    <w:rsid w:val="00F80205"/>
    <w:rsid w:val="00F870E5"/>
    <w:rsid w:val="00F94D19"/>
    <w:rsid w:val="00F95B1C"/>
    <w:rsid w:val="00FA10E1"/>
    <w:rsid w:val="00FA2097"/>
    <w:rsid w:val="00FA5931"/>
    <w:rsid w:val="00FA71DD"/>
    <w:rsid w:val="00FB2A27"/>
    <w:rsid w:val="00FB2F8F"/>
    <w:rsid w:val="00FB5100"/>
    <w:rsid w:val="00FC35FE"/>
    <w:rsid w:val="00FC4983"/>
    <w:rsid w:val="00FD5121"/>
    <w:rsid w:val="00FD5648"/>
    <w:rsid w:val="00FD6D22"/>
    <w:rsid w:val="00FE017B"/>
    <w:rsid w:val="00FE24DE"/>
    <w:rsid w:val="00FE4618"/>
    <w:rsid w:val="57C15D0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annotation reference"/>
    <w:basedOn w:val="2"/>
    <w:semiHidden/>
    <w:unhideWhenUsed/>
    <w:qFormat/>
    <w:uiPriority w:val="99"/>
    <w:rPr>
      <w:sz w:val="16"/>
      <w:szCs w:val="16"/>
    </w:rPr>
  </w:style>
  <w:style w:type="character" w:styleId="5">
    <w:name w:val="Strong"/>
    <w:basedOn w:val="2"/>
    <w:qFormat/>
    <w:uiPriority w:val="22"/>
    <w:rPr>
      <w:b/>
      <w:bCs/>
    </w:rPr>
  </w:style>
  <w:style w:type="paragraph" w:styleId="6">
    <w:name w:val="Balloon Text"/>
    <w:basedOn w:val="1"/>
    <w:link w:val="17"/>
    <w:semiHidden/>
    <w:unhideWhenUsed/>
    <w:qFormat/>
    <w:uiPriority w:val="99"/>
    <w:pPr>
      <w:spacing w:after="0" w:line="240" w:lineRule="auto"/>
    </w:pPr>
    <w:rPr>
      <w:rFonts w:ascii="Tahoma" w:hAnsi="Tahoma" w:cs="Tahoma"/>
      <w:sz w:val="16"/>
      <w:szCs w:val="16"/>
    </w:rPr>
  </w:style>
  <w:style w:type="paragraph" w:styleId="7">
    <w:name w:val="annotation text"/>
    <w:basedOn w:val="1"/>
    <w:link w:val="18"/>
    <w:semiHidden/>
    <w:unhideWhenUsed/>
    <w:qFormat/>
    <w:uiPriority w:val="99"/>
    <w:pPr>
      <w:spacing w:line="240" w:lineRule="auto"/>
    </w:pPr>
    <w:rPr>
      <w:sz w:val="20"/>
      <w:szCs w:val="20"/>
    </w:rPr>
  </w:style>
  <w:style w:type="paragraph" w:styleId="8">
    <w:name w:val="annotation subject"/>
    <w:basedOn w:val="7"/>
    <w:next w:val="7"/>
    <w:link w:val="19"/>
    <w:semiHidden/>
    <w:unhideWhenUsed/>
    <w:qFormat/>
    <w:uiPriority w:val="99"/>
    <w:rPr>
      <w:b/>
      <w:bCs/>
    </w:rPr>
  </w:style>
  <w:style w:type="paragraph" w:styleId="9">
    <w:name w:val="header"/>
    <w:basedOn w:val="1"/>
    <w:link w:val="21"/>
    <w:unhideWhenUsed/>
    <w:qFormat/>
    <w:uiPriority w:val="99"/>
    <w:pPr>
      <w:tabs>
        <w:tab w:val="center" w:pos="4677"/>
        <w:tab w:val="right" w:pos="9355"/>
      </w:tabs>
      <w:spacing w:after="0" w:line="240" w:lineRule="auto"/>
    </w:pPr>
  </w:style>
  <w:style w:type="paragraph" w:styleId="10">
    <w:name w:val="footer"/>
    <w:basedOn w:val="1"/>
    <w:link w:val="22"/>
    <w:unhideWhenUsed/>
    <w:qFormat/>
    <w:uiPriority w:val="99"/>
    <w:pPr>
      <w:tabs>
        <w:tab w:val="center" w:pos="4677"/>
        <w:tab w:val="right" w:pos="9355"/>
      </w:tabs>
      <w:spacing w:after="0" w:line="240" w:lineRule="auto"/>
    </w:pPr>
  </w:style>
  <w:style w:type="paragraph" w:styleId="11">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2">
    <w:name w:val="western"/>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3">
    <w:name w:val="style1"/>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4">
    <w:name w:val="style3"/>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5">
    <w:name w:val="style4"/>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customStyle="1" w:styleId="16">
    <w:name w:val="style5"/>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ru-RU"/>
    </w:rPr>
  </w:style>
  <w:style w:type="character" w:customStyle="1" w:styleId="17">
    <w:name w:val="Текст выноски Знак"/>
    <w:basedOn w:val="2"/>
    <w:link w:val="6"/>
    <w:semiHidden/>
    <w:qFormat/>
    <w:uiPriority w:val="99"/>
    <w:rPr>
      <w:rFonts w:ascii="Tahoma" w:hAnsi="Tahoma" w:cs="Tahoma"/>
      <w:sz w:val="16"/>
      <w:szCs w:val="16"/>
    </w:rPr>
  </w:style>
  <w:style w:type="character" w:customStyle="1" w:styleId="18">
    <w:name w:val="Текст примечания Знак"/>
    <w:basedOn w:val="2"/>
    <w:link w:val="7"/>
    <w:semiHidden/>
    <w:qFormat/>
    <w:uiPriority w:val="99"/>
    <w:rPr>
      <w:sz w:val="20"/>
      <w:szCs w:val="20"/>
    </w:rPr>
  </w:style>
  <w:style w:type="character" w:customStyle="1" w:styleId="19">
    <w:name w:val="Тема примечания Знак"/>
    <w:basedOn w:val="18"/>
    <w:link w:val="8"/>
    <w:semiHidden/>
    <w:qFormat/>
    <w:uiPriority w:val="99"/>
    <w:rPr>
      <w:b/>
      <w:bCs/>
      <w:sz w:val="20"/>
      <w:szCs w:val="20"/>
    </w:rPr>
  </w:style>
  <w:style w:type="paragraph" w:styleId="20">
    <w:name w:val="List Paragraph"/>
    <w:basedOn w:val="1"/>
    <w:qFormat/>
    <w:uiPriority w:val="34"/>
    <w:pPr>
      <w:ind w:left="720"/>
      <w:contextualSpacing/>
    </w:pPr>
  </w:style>
  <w:style w:type="character" w:customStyle="1" w:styleId="21">
    <w:name w:val="Верхний колонтитул Знак"/>
    <w:basedOn w:val="2"/>
    <w:link w:val="9"/>
    <w:qFormat/>
    <w:uiPriority w:val="99"/>
  </w:style>
  <w:style w:type="character" w:customStyle="1" w:styleId="22">
    <w:name w:val="Нижний колонтитул Знак"/>
    <w:basedOn w:val="2"/>
    <w:link w:val="10"/>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emf"/><Relationship Id="rId7" Type="http://schemas.openxmlformats.org/officeDocument/2006/relationships/image" Target="media/image1.emf"/><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809</Words>
  <Characters>4855</Characters>
  <Lines>124</Lines>
  <Paragraphs>34</Paragraphs>
  <TotalTime>3788</TotalTime>
  <ScaleCrop>false</ScaleCrop>
  <LinksUpToDate>false</LinksUpToDate>
  <CharactersWithSpaces>5683</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2026-07-07T19:25:00Z</dcterms:created>
  <dc:creator>Горбачева Елена</dc:creator>
  <cp:lastModifiedBy>юзер</cp:lastModifiedBy>
  <dcterms:modified xsi:type="dcterms:W3CDTF">2026-07-12T04:59:09Z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2BD9240E05734C4EAB52A57D702BBC6B_13</vt:lpwstr>
  </property>
</Properties>
</file>